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4" w:rsidRDefault="00FE0A8F" w:rsidP="00A3537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-635</wp:posOffset>
            </wp:positionV>
            <wp:extent cx="2115185" cy="445135"/>
            <wp:effectExtent l="19050" t="0" r="0" b="0"/>
            <wp:wrapSquare wrapText="bothSides"/>
            <wp:docPr id="4" name="Picture 3" descr="UB Brand Mark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 Brand Mark bl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23495</wp:posOffset>
            </wp:positionV>
            <wp:extent cx="1880235" cy="421005"/>
            <wp:effectExtent l="19050" t="0" r="5715" b="0"/>
            <wp:wrapTight wrapText="bothSides">
              <wp:wrapPolygon edited="0">
                <wp:start x="-219" y="0"/>
                <wp:lineTo x="-219" y="20525"/>
                <wp:lineTo x="21666" y="20525"/>
                <wp:lineTo x="21666" y="0"/>
                <wp:lineTo x="-219" y="0"/>
              </wp:wrapPolygon>
            </wp:wrapTight>
            <wp:docPr id="2" name="Picture 2" descr="Logo%20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A8F" w:rsidRDefault="00FE0A8F" w:rsidP="00A3537D">
      <w:pPr>
        <w:rPr>
          <w:rFonts w:ascii="Arial" w:hAnsi="Arial" w:cs="Arial"/>
          <w:b/>
          <w:sz w:val="32"/>
          <w:szCs w:val="32"/>
        </w:rPr>
      </w:pPr>
    </w:p>
    <w:p w:rsidR="00A3537D" w:rsidRDefault="00A8510F" w:rsidP="00A353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MODULE</w:t>
      </w:r>
      <w:r w:rsidR="00A3537D" w:rsidRPr="00A3537D">
        <w:rPr>
          <w:rFonts w:ascii="Arial" w:hAnsi="Arial" w:cs="Arial"/>
          <w:b/>
          <w:sz w:val="32"/>
          <w:szCs w:val="32"/>
        </w:rPr>
        <w:t xml:space="preserve"> SPECIFICATION </w:t>
      </w:r>
    </w:p>
    <w:p w:rsidR="00A3537D" w:rsidRPr="008102D6" w:rsidRDefault="00A3537D" w:rsidP="00A3537D">
      <w:pPr>
        <w:rPr>
          <w:rFonts w:ascii="Arial" w:hAnsi="Arial" w:cs="Arial"/>
          <w:b/>
          <w:sz w:val="16"/>
          <w:szCs w:val="16"/>
        </w:rPr>
      </w:pPr>
      <w:r w:rsidRPr="008102D6">
        <w:rPr>
          <w:rFonts w:ascii="Arial" w:hAnsi="Arial" w:cs="Arial"/>
          <w:sz w:val="16"/>
          <w:szCs w:val="16"/>
        </w:rPr>
        <w:t xml:space="preserve">FOR TAUGHT </w:t>
      </w:r>
      <w:r w:rsidR="00A8510F" w:rsidRPr="008102D6">
        <w:rPr>
          <w:rFonts w:ascii="Arial" w:hAnsi="Arial" w:cs="Arial"/>
          <w:sz w:val="16"/>
          <w:szCs w:val="16"/>
        </w:rPr>
        <w:t>MODULES</w:t>
      </w:r>
      <w:r w:rsidR="00FF60B4" w:rsidRPr="008102D6">
        <w:rPr>
          <w:rFonts w:ascii="Arial" w:hAnsi="Arial" w:cs="Arial"/>
          <w:sz w:val="16"/>
          <w:szCs w:val="16"/>
        </w:rPr>
        <w:t xml:space="preserve"> AT ALL LEVELS</w:t>
      </w:r>
    </w:p>
    <w:tbl>
      <w:tblPr>
        <w:tblpPr w:leftFromText="180" w:rightFromText="180" w:vertAnchor="page" w:horzAnchor="margin" w:tblpY="2401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134"/>
        <w:gridCol w:w="691"/>
        <w:gridCol w:w="727"/>
        <w:gridCol w:w="832"/>
        <w:gridCol w:w="288"/>
        <w:gridCol w:w="14"/>
        <w:gridCol w:w="1417"/>
        <w:gridCol w:w="124"/>
        <w:gridCol w:w="288"/>
        <w:gridCol w:w="1006"/>
        <w:gridCol w:w="409"/>
        <w:gridCol w:w="138"/>
        <w:gridCol w:w="20"/>
        <w:gridCol w:w="992"/>
        <w:gridCol w:w="1134"/>
      </w:tblGrid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Name of Module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69446C" w:rsidRPr="008B1D51" w:rsidRDefault="0069446C" w:rsidP="0069446C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8B1D51">
              <w:rPr>
                <w:rFonts w:ascii="Arial" w:hAnsi="Arial" w:cs="Arial"/>
                <w:sz w:val="20"/>
              </w:rPr>
              <w:t xml:space="preserve">European Union Constitutional Law </w:t>
            </w:r>
          </w:p>
          <w:p w:rsidR="00D172F5" w:rsidRPr="008102D6" w:rsidRDefault="00D172F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Parent School/Dept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FB1605" w:rsidRDefault="005727B6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FB1605">
              <w:rPr>
                <w:rFonts w:ascii="Arial" w:hAnsi="Arial" w:cs="Arial"/>
                <w:sz w:val="20"/>
              </w:rPr>
              <w:t>Political Science/International Relations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Programmes where module is offered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5057B5" w:rsidRPr="00FB1605" w:rsidRDefault="0058555E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FB1605">
              <w:rPr>
                <w:rFonts w:ascii="Arial" w:hAnsi="Arial" w:cs="Arial"/>
                <w:sz w:val="20"/>
              </w:rPr>
              <w:t>LLM</w:t>
            </w:r>
            <w:r w:rsidR="005727B6" w:rsidRPr="00FB1605">
              <w:rPr>
                <w:rFonts w:ascii="Arial" w:hAnsi="Arial" w:cs="Arial"/>
                <w:sz w:val="20"/>
              </w:rPr>
              <w:t xml:space="preserve"> International Law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Pr="008102D6">
              <w:rPr>
                <w:rFonts w:ascii="Arial" w:hAnsi="Arial" w:cs="Arial"/>
                <w:sz w:val="20"/>
                <w:szCs w:val="20"/>
              </w:rPr>
              <w:t>(compulsory, optional, free choice)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5057B5" w:rsidRPr="00EE5B21" w:rsidRDefault="0020076E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>Compulsory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057B5" w:rsidRPr="00EE5B21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>Pre-Requisite Modules or Qualifications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5057B5" w:rsidRPr="00EE5B21" w:rsidRDefault="00C56040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Recommended: </w:t>
            </w:r>
            <w:r w:rsidR="00955846">
              <w:rPr>
                <w:rFonts w:ascii="Arial" w:hAnsi="Arial" w:cs="Arial"/>
                <w:sz w:val="20"/>
                <w:szCs w:val="20"/>
                <w:lang w:val="hr-HR"/>
              </w:rPr>
              <w:t xml:space="preserve"> B</w:t>
            </w:r>
            <w:r w:rsidR="00534114" w:rsidRPr="004810F1">
              <w:rPr>
                <w:rFonts w:ascii="Arial" w:hAnsi="Arial" w:cs="Arial"/>
                <w:sz w:val="20"/>
                <w:szCs w:val="20"/>
                <w:lang w:val="hr-HR"/>
              </w:rPr>
              <w:t xml:space="preserve">asic knowledge of </w:t>
            </w:r>
            <w:r w:rsidR="00955846">
              <w:rPr>
                <w:rFonts w:ascii="Arial" w:hAnsi="Arial" w:cs="Arial"/>
                <w:sz w:val="20"/>
                <w:szCs w:val="20"/>
                <w:lang w:val="hr-HR"/>
              </w:rPr>
              <w:t>Public International Law</w:t>
            </w:r>
          </w:p>
        </w:tc>
      </w:tr>
      <w:tr w:rsidR="005057B5" w:rsidRPr="00E807BA" w:rsidTr="008102D6">
        <w:trPr>
          <w:cantSplit/>
        </w:trPr>
        <w:tc>
          <w:tcPr>
            <w:tcW w:w="1242" w:type="dxa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FHEQ Level</w:t>
            </w:r>
          </w:p>
        </w:tc>
        <w:tc>
          <w:tcPr>
            <w:tcW w:w="1134" w:type="dxa"/>
            <w:shd w:val="clear" w:color="auto" w:fill="auto"/>
          </w:tcPr>
          <w:p w:rsidR="005057B5" w:rsidRPr="008102D6" w:rsidRDefault="005727B6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57B5" w:rsidRPr="00EE5B21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>Unit Value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57B5" w:rsidRPr="00EE5B21" w:rsidRDefault="005727B6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65CD4" w:rsidRPr="00EE5B21">
              <w:rPr>
                <w:rFonts w:ascii="Arial" w:hAnsi="Arial" w:cs="Arial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1417" w:type="dxa"/>
            <w:shd w:val="clear" w:color="auto" w:fill="auto"/>
          </w:tcPr>
          <w:p w:rsidR="005057B5" w:rsidRPr="00EE5B21" w:rsidRDefault="005057B5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 xml:space="preserve">Module Code </w:t>
            </w:r>
            <w:r w:rsidRPr="00EE5B21">
              <w:rPr>
                <w:rFonts w:ascii="Arial" w:hAnsi="Arial" w:cs="Arial"/>
                <w:sz w:val="20"/>
                <w:szCs w:val="20"/>
              </w:rPr>
              <w:t>(where applicable)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057B5" w:rsidRPr="00EE5B21" w:rsidRDefault="005727B6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</w:rPr>
              <w:t>IL 504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5057B5" w:rsidRPr="00EE5B21" w:rsidRDefault="005057B5" w:rsidP="005D37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 xml:space="preserve">Module </w:t>
            </w:r>
            <w:r w:rsidR="005D373A" w:rsidRPr="00EE5B21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shd w:val="clear" w:color="auto" w:fill="auto"/>
          </w:tcPr>
          <w:p w:rsidR="005057B5" w:rsidRPr="00EE5B21" w:rsidRDefault="005727B6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bCs/>
                <w:sz w:val="20"/>
              </w:rPr>
              <w:t xml:space="preserve">Andrea </w:t>
            </w:r>
            <w:proofErr w:type="spellStart"/>
            <w:r w:rsidRPr="00EE5B21">
              <w:rPr>
                <w:rFonts w:ascii="Arial" w:hAnsi="Arial" w:cs="Arial"/>
                <w:b/>
                <w:bCs/>
                <w:sz w:val="20"/>
              </w:rPr>
              <w:t>Zubovic</w:t>
            </w:r>
            <w:proofErr w:type="spellEnd"/>
          </w:p>
        </w:tc>
      </w:tr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B824CF" w:rsidP="00B824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="00896DFA" w:rsidRPr="008102D6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896DFA" w:rsidRPr="00EE5B21" w:rsidRDefault="009F0A36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96DFA" w:rsidRPr="00EE5B21" w:rsidRDefault="0056521B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B21">
              <w:rPr>
                <w:rFonts w:ascii="Arial" w:hAnsi="Arial" w:cs="Arial"/>
                <w:b/>
                <w:sz w:val="20"/>
                <w:szCs w:val="20"/>
              </w:rPr>
              <w:t>Applicable From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896DFA" w:rsidRPr="00EE5B21" w:rsidRDefault="00B824CF" w:rsidP="0020076E">
            <w:pPr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SEMESTER</w:t>
            </w:r>
            <w:r w:rsidR="00A47151" w:rsidRPr="00EE5B21">
              <w:rPr>
                <w:rFonts w:ascii="Arial" w:hAnsi="Arial" w:cs="Arial"/>
                <w:sz w:val="20"/>
                <w:szCs w:val="20"/>
              </w:rPr>
              <w:t>/YEAR</w:t>
            </w:r>
            <w:r w:rsidR="000013E6" w:rsidRPr="00EE5B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9CF">
              <w:rPr>
                <w:rFonts w:ascii="Arial" w:hAnsi="Arial" w:cs="Arial"/>
                <w:sz w:val="20"/>
                <w:szCs w:val="20"/>
              </w:rPr>
              <w:t>2</w:t>
            </w:r>
            <w:r w:rsidR="00D209CF" w:rsidRPr="00D209C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D209CF">
              <w:rPr>
                <w:rFonts w:ascii="Arial" w:hAnsi="Arial" w:cs="Arial"/>
                <w:sz w:val="20"/>
                <w:szCs w:val="20"/>
              </w:rPr>
              <w:t xml:space="preserve">  semester, 1</w:t>
            </w:r>
            <w:r w:rsidR="00D209CF" w:rsidRPr="00D209C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20076E" w:rsidRPr="00EE5B21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553" w:rsidRPr="008102D6" w:rsidRDefault="003B7553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Educational Aims of the Module</w:t>
            </w:r>
          </w:p>
        </w:tc>
      </w:tr>
      <w:tr w:rsidR="003B7553" w:rsidRPr="00E807BA" w:rsidTr="008102D6">
        <w:trPr>
          <w:cantSplit/>
          <w:trHeight w:val="1226"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69B4" w:rsidRPr="0058555E" w:rsidRDefault="00534114" w:rsidP="0058555E">
            <w:pPr>
              <w:pStyle w:val="Title"/>
              <w:spacing w:after="120"/>
              <w:jc w:val="both"/>
              <w:rPr>
                <w:rFonts w:ascii="Arial" w:hAnsi="Arial" w:cs="Arial"/>
                <w:b w:val="0"/>
                <w:sz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This module aims to provide 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>a thorough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 xml:space="preserve"> and comprehensive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 xml:space="preserve"> insight 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>into the constitutional order of the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81E5B">
              <w:rPr>
                <w:rFonts w:ascii="Arial" w:hAnsi="Arial" w:cs="Arial"/>
                <w:b w:val="0"/>
                <w:sz w:val="20"/>
              </w:rPr>
              <w:t>European Union (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>EU</w:t>
            </w:r>
            <w:r w:rsidR="00381E5B">
              <w:rPr>
                <w:rFonts w:ascii="Arial" w:hAnsi="Arial" w:cs="Arial"/>
                <w:b w:val="0"/>
                <w:sz w:val="20"/>
              </w:rPr>
              <w:t>)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 xml:space="preserve"> and its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 xml:space="preserve"> main constitutional principles.</w:t>
            </w:r>
            <w:r w:rsidR="004810F1" w:rsidRPr="004810F1">
              <w:rPr>
                <w:rFonts w:ascii="Arial" w:hAnsi="Arial" w:cs="Arial"/>
                <w:b w:val="0"/>
                <w:sz w:val="20"/>
              </w:rPr>
              <w:t xml:space="preserve">  In addition, this module critically evaluates and analyses the major issues related to</w:t>
            </w:r>
            <w:r>
              <w:rPr>
                <w:rFonts w:ascii="Arial" w:hAnsi="Arial" w:cs="Arial"/>
                <w:b w:val="0"/>
                <w:sz w:val="20"/>
              </w:rPr>
              <w:t xml:space="preserve"> the sovereignty, independence and </w:t>
            </w:r>
            <w:r w:rsidR="004810F1" w:rsidRPr="004810F1">
              <w:rPr>
                <w:rFonts w:ascii="Arial" w:hAnsi="Arial" w:cs="Arial"/>
                <w:b w:val="0"/>
                <w:sz w:val="20"/>
              </w:rPr>
              <w:t xml:space="preserve">separation of powers in the context of the main EU constitutional principles. 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>The following specific topics will be considered in this module: the respective roles, competencies and powers of the EU’s main political and judicial institutions; foundational legal principles underpinning the EU’s legal framework including subsidiarity, direct effect and supremacy of EU law; the relationship between the EU’s Court of Justice and national courts of the Member States; enforcement mechanisms of EU law; human r</w:t>
            </w:r>
            <w:r w:rsidR="0058555E">
              <w:rPr>
                <w:rFonts w:ascii="Arial" w:hAnsi="Arial" w:cs="Arial"/>
                <w:b w:val="0"/>
                <w:sz w:val="20"/>
              </w:rPr>
              <w:t>ights in EU law; EU Citizenship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 xml:space="preserve"> and </w:t>
            </w:r>
            <w:r w:rsidR="0058555E">
              <w:rPr>
                <w:rFonts w:ascii="Arial" w:hAnsi="Arial" w:cs="Arial"/>
                <w:b w:val="0"/>
                <w:sz w:val="20"/>
              </w:rPr>
              <w:t xml:space="preserve">the 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 xml:space="preserve">legal aspects of the external relations of the Union. 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>At t</w:t>
            </w:r>
            <w:r>
              <w:rPr>
                <w:rFonts w:ascii="Arial" w:hAnsi="Arial" w:cs="Arial"/>
                <w:b w:val="0"/>
                <w:sz w:val="20"/>
              </w:rPr>
              <w:t>he end of the module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 xml:space="preserve">, students shall </w:t>
            </w:r>
            <w:r>
              <w:rPr>
                <w:rFonts w:ascii="Arial" w:hAnsi="Arial" w:cs="Arial"/>
                <w:b w:val="0"/>
                <w:sz w:val="20"/>
              </w:rPr>
              <w:t xml:space="preserve">have 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>acquire</w:t>
            </w:r>
            <w:r>
              <w:rPr>
                <w:rFonts w:ascii="Arial" w:hAnsi="Arial" w:cs="Arial"/>
                <w:b w:val="0"/>
                <w:sz w:val="20"/>
              </w:rPr>
              <w:t>d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in-</w:t>
            </w:r>
            <w:r w:rsidR="00247F7D" w:rsidRPr="004810F1">
              <w:rPr>
                <w:rFonts w:ascii="Arial" w:hAnsi="Arial" w:cs="Arial"/>
                <w:b w:val="0"/>
                <w:sz w:val="20"/>
              </w:rPr>
              <w:t xml:space="preserve">depth 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>understanding of future possible development and B</w:t>
            </w:r>
            <w:r>
              <w:rPr>
                <w:rFonts w:ascii="Arial" w:hAnsi="Arial" w:cs="Arial"/>
                <w:b w:val="0"/>
                <w:sz w:val="20"/>
              </w:rPr>
              <w:t>osnia and Herzegovina’s</w:t>
            </w:r>
            <w:r w:rsidR="005727B6" w:rsidRPr="004810F1">
              <w:rPr>
                <w:rFonts w:ascii="Arial" w:hAnsi="Arial" w:cs="Arial"/>
                <w:b w:val="0"/>
                <w:sz w:val="20"/>
              </w:rPr>
              <w:t xml:space="preserve"> position in respect of EU. </w:t>
            </w:r>
          </w:p>
        </w:tc>
      </w:tr>
      <w:tr w:rsidR="003B7553" w:rsidRPr="00E807BA" w:rsidTr="008102D6">
        <w:trPr>
          <w:cantSplit/>
          <w:trHeight w:val="256"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3B7553" w:rsidRPr="008102D6" w:rsidRDefault="003B7553" w:rsidP="00505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96DFA" w:rsidRPr="008102D6" w:rsidRDefault="00896DFA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Module Outline/Syllabus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727B6" w:rsidRPr="00170625" w:rsidRDefault="005727B6" w:rsidP="0017062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013E6">
              <w:rPr>
                <w:rFonts w:ascii="Arial" w:hAnsi="Arial" w:cs="Arial"/>
                <w:sz w:val="20"/>
                <w:szCs w:val="20"/>
              </w:rPr>
              <w:t>Introduction to the EU law, Legal character and historical development of EU law</w:t>
            </w:r>
            <w:r w:rsidRPr="0017062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55D88" w:rsidRPr="000013E6" w:rsidRDefault="00B55D88" w:rsidP="00200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Sources of EU </w:t>
            </w:r>
            <w:r w:rsidR="00247F7D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aw</w:t>
            </w:r>
          </w:p>
          <w:p w:rsidR="005727B6" w:rsidRPr="000013E6" w:rsidRDefault="00F07C24" w:rsidP="00200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 Competence: </w:t>
            </w:r>
            <w:r w:rsidR="00170625">
              <w:rPr>
                <w:rFonts w:ascii="Arial" w:hAnsi="Arial" w:cs="Arial"/>
                <w:sz w:val="20"/>
                <w:szCs w:val="20"/>
              </w:rPr>
              <w:t xml:space="preserve">external and internal EU competence, </w:t>
            </w:r>
            <w:r w:rsidR="005727B6" w:rsidRPr="000013E6">
              <w:rPr>
                <w:rFonts w:ascii="Arial" w:hAnsi="Arial" w:cs="Arial"/>
                <w:sz w:val="20"/>
                <w:szCs w:val="20"/>
              </w:rPr>
              <w:t xml:space="preserve">principles of attribution of powers, </w:t>
            </w:r>
            <w:r w:rsidR="00955C33" w:rsidRPr="00B974D4">
              <w:rPr>
                <w:rFonts w:ascii="Arial" w:hAnsi="Arial" w:cs="Arial"/>
                <w:sz w:val="20"/>
                <w:szCs w:val="20"/>
              </w:rPr>
              <w:t xml:space="preserve"> subsidiarity</w:t>
            </w:r>
            <w:r w:rsidR="00955C33" w:rsidRPr="000013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7B6" w:rsidRPr="000013E6">
              <w:rPr>
                <w:rFonts w:ascii="Arial" w:hAnsi="Arial" w:cs="Arial"/>
                <w:sz w:val="20"/>
                <w:szCs w:val="20"/>
              </w:rPr>
              <w:t xml:space="preserve"> and proportionality</w:t>
            </w:r>
          </w:p>
          <w:p w:rsidR="005727B6" w:rsidRPr="000013E6" w:rsidRDefault="005727B6" w:rsidP="00200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013E6">
              <w:rPr>
                <w:rFonts w:ascii="Arial" w:hAnsi="Arial" w:cs="Arial"/>
                <w:sz w:val="20"/>
                <w:szCs w:val="20"/>
              </w:rPr>
              <w:t xml:space="preserve">Relationship between the EU law and </w:t>
            </w:r>
            <w:r w:rsidR="00534114">
              <w:rPr>
                <w:rFonts w:ascii="Arial" w:hAnsi="Arial" w:cs="Arial"/>
                <w:sz w:val="20"/>
                <w:szCs w:val="20"/>
              </w:rPr>
              <w:t>national legal systems :</w:t>
            </w:r>
            <w:r w:rsidR="00170625">
              <w:rPr>
                <w:rFonts w:ascii="Arial" w:hAnsi="Arial" w:cs="Arial"/>
                <w:sz w:val="20"/>
                <w:szCs w:val="20"/>
              </w:rPr>
              <w:t xml:space="preserve">supremacy, </w:t>
            </w:r>
            <w:r w:rsidRPr="000013E6">
              <w:rPr>
                <w:rFonts w:ascii="Arial" w:hAnsi="Arial" w:cs="Arial"/>
                <w:sz w:val="20"/>
                <w:szCs w:val="20"/>
              </w:rPr>
              <w:t>direct effect</w:t>
            </w:r>
            <w:r w:rsidR="00F07C24">
              <w:rPr>
                <w:rFonts w:ascii="Arial" w:hAnsi="Arial" w:cs="Arial"/>
                <w:sz w:val="20"/>
                <w:szCs w:val="20"/>
              </w:rPr>
              <w:t>/</w:t>
            </w:r>
            <w:r w:rsidR="00170625">
              <w:rPr>
                <w:rFonts w:ascii="Arial" w:hAnsi="Arial" w:cs="Arial"/>
                <w:sz w:val="20"/>
                <w:szCs w:val="20"/>
              </w:rPr>
              <w:t>indirect effect, enforcement of EU law</w:t>
            </w:r>
          </w:p>
          <w:p w:rsidR="00E65A11" w:rsidRPr="00E65A11" w:rsidRDefault="00E65A11" w:rsidP="00E65A1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013E6">
              <w:rPr>
                <w:rFonts w:ascii="Arial" w:hAnsi="Arial" w:cs="Arial"/>
                <w:sz w:val="20"/>
                <w:szCs w:val="20"/>
              </w:rPr>
              <w:t>St</w:t>
            </w:r>
            <w:r w:rsidR="00170625">
              <w:rPr>
                <w:rFonts w:ascii="Arial" w:hAnsi="Arial" w:cs="Arial"/>
                <w:sz w:val="20"/>
                <w:szCs w:val="20"/>
              </w:rPr>
              <w:t xml:space="preserve">ate liability for breach of </w:t>
            </w:r>
            <w:r w:rsidRPr="000013E6">
              <w:rPr>
                <w:rFonts w:ascii="Arial" w:hAnsi="Arial" w:cs="Arial"/>
                <w:sz w:val="20"/>
                <w:szCs w:val="20"/>
              </w:rPr>
              <w:t>EU law</w:t>
            </w:r>
          </w:p>
          <w:p w:rsidR="005727B6" w:rsidRDefault="00170625" w:rsidP="002007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Protection of Human Rights in the EU, </w:t>
            </w:r>
            <w:r w:rsidR="005727B6" w:rsidRPr="000013E6">
              <w:rPr>
                <w:rFonts w:ascii="Arial" w:hAnsi="Arial" w:cs="Arial"/>
                <w:sz w:val="20"/>
                <w:szCs w:val="20"/>
              </w:rPr>
              <w:t>EU Citizenship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prohibition of discrimination</w:t>
            </w:r>
          </w:p>
          <w:p w:rsidR="00B55D88" w:rsidRPr="00170625" w:rsidRDefault="00B55D88" w:rsidP="0017062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for annulment and other actions in EU Law</w:t>
            </w:r>
            <w:r w:rsidR="0017062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0625">
              <w:rPr>
                <w:rFonts w:ascii="Arial" w:hAnsi="Arial" w:cs="Arial"/>
                <w:sz w:val="20"/>
                <w:szCs w:val="20"/>
              </w:rPr>
              <w:t>Preliminary rulings</w:t>
            </w:r>
          </w:p>
          <w:p w:rsidR="00896DFA" w:rsidRPr="00371FD1" w:rsidRDefault="00E26302" w:rsidP="00371FD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Enlargement of </w:t>
            </w:r>
            <w:r w:rsidR="0017062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EU</w:t>
            </w:r>
            <w:r w:rsidR="00371FD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013E6" w:rsidRPr="00371FD1">
              <w:rPr>
                <w:rFonts w:ascii="Arial" w:hAnsi="Arial" w:cs="Arial"/>
                <w:sz w:val="20"/>
                <w:szCs w:val="20"/>
              </w:rPr>
              <w:t xml:space="preserve">Bosnia and </w:t>
            </w:r>
            <w:r w:rsidR="00974D8F" w:rsidRPr="00371FD1">
              <w:rPr>
                <w:rFonts w:ascii="Arial" w:hAnsi="Arial" w:cs="Arial"/>
                <w:sz w:val="20"/>
                <w:szCs w:val="20"/>
              </w:rPr>
              <w:t>Herzegovina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896DFA" w:rsidRPr="008102D6" w:rsidRDefault="00896DFA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09429E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 Engagement Hours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09429E" w:rsidP="000F11CA">
            <w:pPr>
              <w:pStyle w:val="Heading7"/>
              <w:tabs>
                <w:tab w:val="clear" w:pos="709"/>
                <w:tab w:val="clear" w:pos="2880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8102D6">
              <w:rPr>
                <w:i/>
                <w:sz w:val="20"/>
                <w:szCs w:val="20"/>
              </w:rPr>
              <w:t>Type</w:t>
            </w:r>
            <w:r w:rsidR="003B7553" w:rsidRPr="008102D6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0F11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Number per term 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A278C0" w:rsidP="000F11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Duration of each 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09429E" w:rsidP="00BC4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="00A278C0"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Time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5727B6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Lectures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ED68AE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ED68AE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727B6">
              <w:rPr>
                <w:rFonts w:ascii="Arial" w:hAnsi="Arial" w:cs="Arial"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247F7D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CE4191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Seminars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247F7D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ED68AE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727B6">
              <w:rPr>
                <w:rFonts w:ascii="Arial" w:hAnsi="Arial" w:cs="Arial"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247F7D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>Total Guided/Independent Learning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4810F1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</w:tr>
      <w:tr w:rsidR="00BC4B2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BC4B2E" w:rsidP="0009429E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Total Contact </w:t>
            </w:r>
            <w:r w:rsidR="0009429E" w:rsidRPr="008102D6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:         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4810F1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Total Engagement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4810F1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A278C0" w:rsidRPr="00E807BA" w:rsidTr="00FB1605">
        <w:trPr>
          <w:cantSplit/>
          <w:trHeight w:val="2049"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FB1605" w:rsidRDefault="00FB1605" w:rsidP="00FB16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605" w:rsidRDefault="00FB1605" w:rsidP="00FB16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625" w:rsidRDefault="00170625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605" w:rsidRDefault="00FB1605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5846" w:rsidRDefault="00955846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5846" w:rsidRDefault="00955846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605" w:rsidRDefault="00FB1605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605" w:rsidRDefault="00FB1605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605" w:rsidRDefault="00FB1605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1CA" w:rsidRDefault="000F11CA" w:rsidP="000F11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605" w:rsidRPr="008102D6" w:rsidRDefault="00FB1605" w:rsidP="00FB16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553" w:rsidRPr="00915E6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3B7553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Assessment Method Summary</w:t>
            </w:r>
          </w:p>
        </w:tc>
      </w:tr>
      <w:tr w:rsidR="00A278C0" w:rsidRPr="00915E6A" w:rsidTr="008102D6">
        <w:trPr>
          <w:cantSplit/>
        </w:trPr>
        <w:tc>
          <w:tcPr>
            <w:tcW w:w="306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A477C" w:rsidP="000F11C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Type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Number required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A278C0" w:rsidP="000F11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Duration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8102D6" w:rsidRDefault="00A278C0" w:rsidP="000F11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Weighting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Timing/</w:t>
            </w:r>
          </w:p>
          <w:p w:rsidR="00A278C0" w:rsidRPr="008102D6" w:rsidRDefault="00A278C0" w:rsidP="000F11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Submission Deadline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58555E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58555E" w:rsidRPr="00154112" w:rsidRDefault="0058555E" w:rsidP="0058555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154112">
              <w:rPr>
                <w:b w:val="0"/>
                <w:sz w:val="20"/>
                <w:szCs w:val="20"/>
              </w:rPr>
              <w:t>Mid-semester test (</w:t>
            </w:r>
            <w:r w:rsidR="00CE4191" w:rsidRPr="00154112">
              <w:rPr>
                <w:b w:val="0"/>
                <w:sz w:val="20"/>
                <w:szCs w:val="20"/>
              </w:rPr>
              <w:t xml:space="preserve">unseen written test in class - </w:t>
            </w:r>
            <w:r w:rsidRPr="00154112">
              <w:rPr>
                <w:b w:val="0"/>
                <w:sz w:val="20"/>
                <w:szCs w:val="20"/>
              </w:rPr>
              <w:t>multiple choice, conceptual questions, case analysis)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58555E" w:rsidRPr="008102D6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8555E" w:rsidRPr="008102D6" w:rsidRDefault="00A05DD7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55E">
              <w:rPr>
                <w:rFonts w:ascii="Arial" w:hAnsi="Arial" w:cs="Arial"/>
                <w:sz w:val="20"/>
                <w:szCs w:val="20"/>
              </w:rPr>
              <w:t xml:space="preserve"> hour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8555E" w:rsidRPr="008102D6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58555E" w:rsidRPr="008102D6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Mid-semester</w:t>
            </w:r>
          </w:p>
        </w:tc>
      </w:tr>
      <w:tr w:rsidR="0058555E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58555E" w:rsidRPr="00154112" w:rsidRDefault="00F07C24" w:rsidP="0058555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Set Assignment</w:t>
            </w:r>
            <w:r w:rsidR="0058555E" w:rsidRPr="00154112">
              <w:rPr>
                <w:b w:val="0"/>
                <w:sz w:val="20"/>
                <w:szCs w:val="20"/>
              </w:rPr>
              <w:t xml:space="preserve"> (essay)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8555E" w:rsidRPr="00B974D4" w:rsidRDefault="00A05DD7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55E" w:rsidRPr="00B974D4">
              <w:rPr>
                <w:rFonts w:ascii="Arial" w:hAnsi="Arial" w:cs="Arial"/>
                <w:sz w:val="20"/>
                <w:szCs w:val="20"/>
              </w:rPr>
              <w:t>000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10</w:t>
            </w:r>
          </w:p>
        </w:tc>
      </w:tr>
      <w:tr w:rsidR="0058555E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58555E" w:rsidRPr="00154112" w:rsidRDefault="0058555E" w:rsidP="00F07C24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154112">
              <w:rPr>
                <w:b w:val="0"/>
                <w:sz w:val="20"/>
                <w:szCs w:val="20"/>
              </w:rPr>
              <w:t xml:space="preserve">Written </w:t>
            </w:r>
            <w:r w:rsidR="00F07C24">
              <w:rPr>
                <w:b w:val="0"/>
                <w:sz w:val="20"/>
                <w:szCs w:val="20"/>
              </w:rPr>
              <w:t>Report</w:t>
            </w:r>
            <w:r w:rsidRPr="00154112">
              <w:rPr>
                <w:b w:val="0"/>
                <w:sz w:val="20"/>
                <w:szCs w:val="20"/>
              </w:rPr>
              <w:t xml:space="preserve"> (report on the current state and development of EU integration and cooperation process concerning Bosnia and Herzegovina – selected legal topics pertaining to EU Constitutional Law)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58555E" w:rsidRPr="00B574B0" w:rsidRDefault="0058555E" w:rsidP="005855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8555E" w:rsidRPr="00B974D4" w:rsidRDefault="00A05DD7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 w:rsidR="0058555E">
              <w:rPr>
                <w:rFonts w:ascii="Arial" w:hAnsi="Arial" w:cs="Arial"/>
                <w:sz w:val="20"/>
                <w:szCs w:val="20"/>
              </w:rPr>
              <w:t xml:space="preserve">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8555E" w:rsidRPr="00B974D4" w:rsidRDefault="00A05DD7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55E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14</w:t>
            </w:r>
          </w:p>
        </w:tc>
      </w:tr>
      <w:tr w:rsidR="0058555E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1312D1" w:rsidRDefault="0058555E" w:rsidP="00AA477C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154112">
              <w:rPr>
                <w:b w:val="0"/>
                <w:sz w:val="20"/>
                <w:szCs w:val="20"/>
              </w:rPr>
              <w:t xml:space="preserve">Written Examination </w:t>
            </w:r>
          </w:p>
          <w:p w:rsidR="0058555E" w:rsidRPr="00154112" w:rsidRDefault="0058555E" w:rsidP="00AA477C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154112">
              <w:rPr>
                <w:b w:val="0"/>
                <w:sz w:val="20"/>
                <w:szCs w:val="20"/>
              </w:rPr>
              <w:t>(final exam)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3 hours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58555E" w:rsidRPr="00B974D4" w:rsidRDefault="0058555E" w:rsidP="0058555E">
            <w:p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End of semester</w:t>
            </w:r>
          </w:p>
        </w:tc>
      </w:tr>
    </w:tbl>
    <w:p w:rsidR="00231347" w:rsidRDefault="00231347" w:rsidP="00A3537D">
      <w:pPr>
        <w:rPr>
          <w:rFonts w:ascii="Arial" w:hAnsi="Arial" w:cs="Arial"/>
          <w:b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50"/>
        <w:gridCol w:w="567"/>
        <w:gridCol w:w="5670"/>
      </w:tblGrid>
      <w:tr w:rsidR="00A3537D" w:rsidRPr="00E807BA" w:rsidTr="00E9147A">
        <w:trPr>
          <w:cantSplit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537D" w:rsidRPr="00BC4B2E" w:rsidRDefault="00484DEB" w:rsidP="002313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>Module</w:t>
            </w:r>
            <w:r w:rsidR="00DF1F81"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Outcomes</w:t>
            </w:r>
          </w:p>
        </w:tc>
      </w:tr>
      <w:tr w:rsidR="00B974D4" w:rsidRPr="00E807BA" w:rsidTr="00E9147A">
        <w:trPr>
          <w:cantSplit/>
          <w:trHeight w:val="1015"/>
        </w:trPr>
        <w:tc>
          <w:tcPr>
            <w:tcW w:w="4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Default="00B974D4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Intended Learning Outcomes:</w:t>
            </w:r>
          </w:p>
          <w:p w:rsidR="00534114" w:rsidRPr="00BC4B2E" w:rsidRDefault="0053411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974D4" w:rsidRDefault="00B974D4" w:rsidP="005341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B974D4">
              <w:rPr>
                <w:rFonts w:ascii="Arial" w:hAnsi="Arial" w:cs="Arial"/>
                <w:sz w:val="20"/>
                <w:szCs w:val="20"/>
              </w:rPr>
              <w:t>Comprehensive knowledge and understanding of the history, legal c</w:t>
            </w:r>
            <w:r w:rsidR="00E65A11">
              <w:rPr>
                <w:rFonts w:ascii="Arial" w:hAnsi="Arial" w:cs="Arial"/>
                <w:sz w:val="20"/>
                <w:szCs w:val="20"/>
              </w:rPr>
              <w:t>haracter and sources of the EU L</w:t>
            </w:r>
            <w:r w:rsidRPr="00B974D4">
              <w:rPr>
                <w:rFonts w:ascii="Arial" w:hAnsi="Arial" w:cs="Arial"/>
                <w:sz w:val="20"/>
                <w:szCs w:val="20"/>
              </w:rPr>
              <w:t>aw;</w:t>
            </w:r>
          </w:p>
          <w:p w:rsidR="00B974D4" w:rsidRPr="00B974D4" w:rsidRDefault="00534114" w:rsidP="005341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</w:t>
            </w:r>
            <w:r w:rsidR="00B974D4" w:rsidRPr="00B974D4">
              <w:rPr>
                <w:rFonts w:ascii="Arial" w:hAnsi="Arial" w:cs="Arial"/>
                <w:sz w:val="20"/>
                <w:szCs w:val="20"/>
              </w:rPr>
              <w:t>depth knowledge of the nature of EU law, the formation of rules</w:t>
            </w:r>
            <w:r w:rsidR="00E65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4D4" w:rsidRPr="00B974D4">
              <w:rPr>
                <w:rFonts w:ascii="Arial" w:hAnsi="Arial" w:cs="Arial"/>
                <w:sz w:val="20"/>
                <w:szCs w:val="20"/>
              </w:rPr>
              <w:t>and the institutional and procedural framework;</w:t>
            </w:r>
          </w:p>
          <w:p w:rsidR="00B974D4" w:rsidRPr="00B974D4" w:rsidRDefault="00F07C24" w:rsidP="005341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65A11">
              <w:rPr>
                <w:rFonts w:ascii="Arial" w:hAnsi="Arial" w:cs="Arial"/>
                <w:sz w:val="20"/>
                <w:szCs w:val="20"/>
              </w:rPr>
              <w:t xml:space="preserve">ritical understanding of the </w:t>
            </w:r>
            <w:r w:rsidR="00B974D4" w:rsidRPr="00B974D4">
              <w:rPr>
                <w:rFonts w:ascii="Arial" w:hAnsi="Arial" w:cs="Arial"/>
                <w:sz w:val="20"/>
                <w:szCs w:val="20"/>
              </w:rPr>
              <w:t>principles of the EU law, such as direct effect, supremacy and subsidiarity, as well as the concepts related to the exercise of EU compe</w:t>
            </w:r>
            <w:r w:rsidR="00E65A11">
              <w:rPr>
                <w:rFonts w:ascii="Arial" w:hAnsi="Arial" w:cs="Arial"/>
                <w:sz w:val="20"/>
                <w:szCs w:val="20"/>
              </w:rPr>
              <w:t>tence</w:t>
            </w:r>
            <w:r w:rsidR="00300102">
              <w:rPr>
                <w:rFonts w:ascii="Arial" w:hAnsi="Arial" w:cs="Arial"/>
                <w:sz w:val="20"/>
                <w:szCs w:val="20"/>
              </w:rPr>
              <w:t xml:space="preserve"> and ability to communicate this knowledge and understanding to specialist and non-specialist audiences</w:t>
            </w:r>
            <w:r w:rsidR="00B974D4" w:rsidRPr="00B974D4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534114" w:rsidRPr="00955C33" w:rsidRDefault="0058555E" w:rsidP="005341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974D4" w:rsidRPr="00B974D4">
              <w:rPr>
                <w:rFonts w:ascii="Arial" w:hAnsi="Arial" w:cs="Arial"/>
                <w:sz w:val="20"/>
                <w:szCs w:val="20"/>
              </w:rPr>
              <w:t xml:space="preserve">omprehensive understanding of </w:t>
            </w:r>
            <w:r w:rsidR="00E65A11">
              <w:rPr>
                <w:rFonts w:ascii="Arial" w:hAnsi="Arial" w:cs="Arial"/>
                <w:sz w:val="20"/>
                <w:szCs w:val="20"/>
              </w:rPr>
              <w:t>EU external action, state liability for breaches of EU Law and the system of legal protection within the EU (actions against the EU)</w:t>
            </w:r>
          </w:p>
          <w:p w:rsidR="00955C33" w:rsidRPr="00534114" w:rsidRDefault="00955C33" w:rsidP="005341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In-depth knowledge of the prohibition of discrimination and protection of human rights in EU law</w:t>
            </w:r>
          </w:p>
          <w:p w:rsidR="00B974D4" w:rsidRPr="00B974D4" w:rsidRDefault="0058555E" w:rsidP="0058555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00102">
              <w:rPr>
                <w:rFonts w:ascii="Arial" w:hAnsi="Arial" w:cs="Arial"/>
                <w:sz w:val="20"/>
                <w:szCs w:val="20"/>
              </w:rPr>
              <w:t xml:space="preserve">ritical </w:t>
            </w:r>
            <w:r w:rsidR="00B974D4" w:rsidRPr="00B974D4">
              <w:rPr>
                <w:rFonts w:ascii="Arial" w:hAnsi="Arial" w:cs="Arial"/>
                <w:sz w:val="20"/>
                <w:szCs w:val="20"/>
              </w:rPr>
              <w:t xml:space="preserve">understanding of the EU enlargement process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position of </w:t>
            </w:r>
            <w:r w:rsidR="00534114" w:rsidRPr="00371FD1">
              <w:rPr>
                <w:rFonts w:ascii="Arial" w:hAnsi="Arial" w:cs="Arial"/>
                <w:sz w:val="20"/>
                <w:szCs w:val="20"/>
              </w:rPr>
              <w:t>Bosnia and Herzegovina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875222" w:rsidRDefault="00875222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875222" w:rsidRDefault="00875222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875222" w:rsidRDefault="00875222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875222" w:rsidRDefault="00875222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B974D4" w:rsidRPr="00BB6763" w:rsidRDefault="00B974D4" w:rsidP="00FF7CCE">
            <w:pPr>
              <w:rPr>
                <w:rFonts w:ascii="Arial" w:hAnsi="Arial" w:cs="Arial"/>
                <w:b/>
                <w:i/>
                <w:sz w:val="40"/>
                <w:szCs w:val="4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4D4" w:rsidRDefault="00B974D4" w:rsidP="0053411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974D4" w:rsidRPr="00D719AE" w:rsidRDefault="00B974D4" w:rsidP="0053411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974D4" w:rsidRPr="00CA67B2" w:rsidRDefault="00B974D4" w:rsidP="00B974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Lectures provide the core information (ILO: 1-</w:t>
            </w:r>
            <w:r w:rsidR="00955C33">
              <w:rPr>
                <w:rFonts w:ascii="Arial" w:hAnsi="Arial" w:cs="Arial"/>
                <w:sz w:val="20"/>
                <w:szCs w:val="20"/>
              </w:rPr>
              <w:t>6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Pr="00CA67B2" w:rsidRDefault="00CE4191" w:rsidP="00B974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>s operate as a platform for group discussion, debate, presentations and case-study analysis.(ILO:1-</w:t>
            </w:r>
            <w:r w:rsidR="00955C33">
              <w:rPr>
                <w:rFonts w:ascii="Arial" w:hAnsi="Arial" w:cs="Arial"/>
                <w:sz w:val="20"/>
                <w:szCs w:val="20"/>
              </w:rPr>
              <w:t>6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Default="00B974D4" w:rsidP="00B974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Students will be set assignments which complement the lectures and </w:t>
            </w:r>
            <w:r w:rsidR="00CE4191">
              <w:rPr>
                <w:rFonts w:ascii="Arial" w:hAnsi="Arial" w:cs="Arial"/>
                <w:sz w:val="20"/>
                <w:szCs w:val="20"/>
              </w:rPr>
              <w:t>seminar</w:t>
            </w:r>
            <w:r w:rsidRPr="00CA67B2">
              <w:rPr>
                <w:rFonts w:ascii="Arial" w:hAnsi="Arial" w:cs="Arial"/>
                <w:sz w:val="20"/>
                <w:szCs w:val="20"/>
              </w:rPr>
              <w:t>s.(ILO:1-</w:t>
            </w:r>
            <w:r w:rsidR="00955C33">
              <w:rPr>
                <w:rFonts w:ascii="Arial" w:hAnsi="Arial" w:cs="Arial"/>
                <w:sz w:val="20"/>
                <w:szCs w:val="20"/>
              </w:rPr>
              <w:t>6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Pr="00D656F9" w:rsidRDefault="00B974D4" w:rsidP="00B974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 presentations in class </w:t>
            </w:r>
            <w:r w:rsidR="00534114">
              <w:rPr>
                <w:rFonts w:ascii="Arial" w:hAnsi="Arial" w:cs="Arial"/>
                <w:sz w:val="20"/>
                <w:szCs w:val="20"/>
              </w:rPr>
              <w:t xml:space="preserve">will enable students to research and present their ideas on a given topic. Students will be encouraged to debate and tutors will aid the formation of legal arguments </w:t>
            </w:r>
            <w:r>
              <w:rPr>
                <w:rFonts w:ascii="Arial" w:hAnsi="Arial" w:cs="Arial"/>
                <w:sz w:val="20"/>
                <w:szCs w:val="20"/>
              </w:rPr>
              <w:t>(ILO: 3,4)</w:t>
            </w:r>
          </w:p>
          <w:p w:rsidR="00534114" w:rsidRDefault="00B974D4" w:rsidP="00B974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A site visit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Directorate of European Integration and/or the European Commission in </w:t>
            </w:r>
            <w:r w:rsidR="00534114" w:rsidRPr="00371FD1">
              <w:rPr>
                <w:rFonts w:ascii="Arial" w:hAnsi="Arial" w:cs="Arial"/>
                <w:sz w:val="20"/>
                <w:szCs w:val="20"/>
              </w:rPr>
              <w:t>Bosnia and Herzegovina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provide students with additional knowledge of the functioning of the EU and the EU enlargement process in </w:t>
            </w:r>
            <w:r w:rsidR="00534114" w:rsidRPr="00371FD1">
              <w:rPr>
                <w:rFonts w:ascii="Arial" w:hAnsi="Arial" w:cs="Arial"/>
                <w:sz w:val="20"/>
                <w:szCs w:val="20"/>
              </w:rPr>
              <w:t>Bosnia and Herzegovina</w:t>
            </w:r>
            <w:r w:rsidR="00534114" w:rsidRPr="00CA67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4D4" w:rsidRDefault="00B974D4" w:rsidP="00534114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(ILO: 2,3,4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8555E" w:rsidRDefault="00534114" w:rsidP="0053411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be shown films 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 (documentary and historic)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will aid knowledge and 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legal practice, further </w:t>
            </w:r>
            <w:r w:rsidR="00B974D4">
              <w:rPr>
                <w:rFonts w:ascii="Arial" w:hAnsi="Arial" w:cs="Arial"/>
                <w:sz w:val="20"/>
                <w:szCs w:val="20"/>
              </w:rPr>
              <w:t>enabling crit</w:t>
            </w:r>
            <w:r>
              <w:rPr>
                <w:rFonts w:ascii="Arial" w:hAnsi="Arial" w:cs="Arial"/>
                <w:sz w:val="20"/>
                <w:szCs w:val="20"/>
              </w:rPr>
              <w:t>ical evaluation and inciting in-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depth discussion on issues arising in EU Law </w:t>
            </w:r>
          </w:p>
          <w:p w:rsidR="00B974D4" w:rsidRDefault="00B974D4" w:rsidP="0058555E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(ILO: 1-</w:t>
            </w:r>
            <w:r w:rsidR="00955C3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209CF" w:rsidRPr="00CA67B2" w:rsidRDefault="0058555E" w:rsidP="00955C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class q</w:t>
            </w:r>
            <w:r w:rsidR="00D209CF">
              <w:rPr>
                <w:rFonts w:ascii="Arial" w:hAnsi="Arial" w:cs="Arial"/>
                <w:sz w:val="20"/>
                <w:szCs w:val="20"/>
              </w:rPr>
              <w:t>uiz will help students to get concise insight into the degree of their current knowledge and understanding</w:t>
            </w:r>
            <w:r w:rsidR="00F07C24">
              <w:rPr>
                <w:rFonts w:ascii="Arial" w:hAnsi="Arial" w:cs="Arial"/>
                <w:sz w:val="20"/>
                <w:szCs w:val="20"/>
              </w:rPr>
              <w:t xml:space="preserve"> and identify weaknesses</w:t>
            </w:r>
            <w:r w:rsidR="00D209CF">
              <w:rPr>
                <w:rFonts w:ascii="Arial" w:hAnsi="Arial" w:cs="Arial"/>
                <w:sz w:val="20"/>
                <w:szCs w:val="20"/>
              </w:rPr>
              <w:t xml:space="preserve"> (ILO: 1-</w:t>
            </w:r>
            <w:r w:rsidR="00955C33">
              <w:rPr>
                <w:rFonts w:ascii="Arial" w:hAnsi="Arial" w:cs="Arial"/>
                <w:sz w:val="20"/>
                <w:szCs w:val="20"/>
              </w:rPr>
              <w:t>6</w:t>
            </w:r>
            <w:r w:rsidR="00D209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974D4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22" w:rsidRDefault="00875222" w:rsidP="00FF7CCE">
            <w:pPr>
              <w:rPr>
                <w:rFonts w:ascii="Arial" w:hAnsi="Arial" w:cs="Arial"/>
                <w:sz w:val="40"/>
                <w:szCs w:val="40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4D4" w:rsidRDefault="00B974D4" w:rsidP="0053411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Strategy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974D4" w:rsidRDefault="00B974D4" w:rsidP="005341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974D4" w:rsidRDefault="00E65A11" w:rsidP="00B974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examination</w:t>
            </w:r>
            <w:r w:rsidR="0053411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final exam (ILO: 1 -5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65A11" w:rsidRPr="00CA67B2" w:rsidRDefault="00534114" w:rsidP="00B974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Written examination: </w:t>
            </w:r>
            <w:r w:rsidR="00E65A11">
              <w:rPr>
                <w:rFonts w:ascii="Arial" w:hAnsi="Arial" w:cs="Arial"/>
                <w:sz w:val="20"/>
                <w:szCs w:val="20"/>
              </w:rPr>
              <w:t>mid-</w:t>
            </w:r>
            <w:r>
              <w:rPr>
                <w:rFonts w:ascii="Arial" w:hAnsi="Arial" w:cs="Arial"/>
                <w:sz w:val="20"/>
                <w:szCs w:val="20"/>
              </w:rPr>
              <w:t>semester test (ILO:</w:t>
            </w:r>
            <w:r w:rsidR="00E65A11">
              <w:rPr>
                <w:rFonts w:ascii="Arial" w:hAnsi="Arial" w:cs="Arial"/>
                <w:sz w:val="20"/>
                <w:szCs w:val="20"/>
              </w:rPr>
              <w:t>1-3)</w:t>
            </w:r>
          </w:p>
          <w:p w:rsidR="00B974D4" w:rsidRPr="00CA67B2" w:rsidRDefault="00B974D4" w:rsidP="00B974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assignment</w:t>
            </w:r>
            <w:r w:rsidR="0053411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essay </w:t>
            </w:r>
            <w:r w:rsidR="00B574B0">
              <w:rPr>
                <w:rFonts w:ascii="Arial" w:hAnsi="Arial" w:cs="Arial"/>
                <w:sz w:val="20"/>
                <w:szCs w:val="20"/>
              </w:rPr>
              <w:t xml:space="preserve">and report </w:t>
            </w:r>
            <w:r w:rsidR="00534114">
              <w:rPr>
                <w:rFonts w:ascii="Arial" w:hAnsi="Arial" w:cs="Arial"/>
                <w:sz w:val="20"/>
                <w:szCs w:val="20"/>
              </w:rPr>
              <w:t>(ILO:</w:t>
            </w:r>
            <w:r w:rsidRPr="00CA67B2">
              <w:rPr>
                <w:rFonts w:ascii="Arial" w:hAnsi="Arial" w:cs="Arial"/>
                <w:sz w:val="20"/>
                <w:szCs w:val="20"/>
              </w:rPr>
              <w:t>1-5)</w:t>
            </w:r>
          </w:p>
          <w:p w:rsidR="00B974D4" w:rsidRPr="00AD4434" w:rsidRDefault="00B974D4" w:rsidP="00283942">
            <w:pPr>
              <w:pStyle w:val="ListParagraph"/>
              <w:ind w:left="39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974D4" w:rsidRPr="00E807BA" w:rsidTr="00534114">
        <w:trPr>
          <w:cantSplit/>
        </w:trPr>
        <w:tc>
          <w:tcPr>
            <w:tcW w:w="421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974D4" w:rsidRPr="00BC4B2E" w:rsidRDefault="00B974D4" w:rsidP="00BB676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Practical Skills:</w:t>
            </w:r>
          </w:p>
          <w:p w:rsidR="00B974D4" w:rsidRDefault="00B974D4" w:rsidP="00BB676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E5B21" w:rsidRPr="00EE5B21" w:rsidRDefault="00B974D4" w:rsidP="00B1114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Accurately analyse complex and varied legal material relating to EU constitutional law</w:t>
            </w:r>
          </w:p>
          <w:p w:rsidR="00EE5B21" w:rsidRPr="00EE5B21" w:rsidRDefault="00EE5B21" w:rsidP="00B1114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Employ advanced skills to conduct independent legal research and present the results in a coherent and clear format</w:t>
            </w:r>
          </w:p>
          <w:p w:rsidR="00B974D4" w:rsidRPr="00EE5B21" w:rsidRDefault="00B974D4" w:rsidP="00B1114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Recognise</w:t>
            </w:r>
            <w:r w:rsidR="00EE5B21" w:rsidRPr="00EE5B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E5B21">
              <w:rPr>
                <w:rFonts w:ascii="Arial" w:hAnsi="Arial" w:cs="Arial"/>
                <w:sz w:val="20"/>
                <w:szCs w:val="20"/>
              </w:rPr>
              <w:t>interpret</w:t>
            </w:r>
            <w:r w:rsidR="00EE5B21" w:rsidRPr="00EE5B21">
              <w:rPr>
                <w:rFonts w:ascii="Arial" w:hAnsi="Arial" w:cs="Arial"/>
                <w:sz w:val="20"/>
                <w:szCs w:val="20"/>
              </w:rPr>
              <w:t xml:space="preserve"> and apply</w:t>
            </w:r>
            <w:r w:rsidRPr="00EE5B21">
              <w:rPr>
                <w:rFonts w:ascii="Arial" w:hAnsi="Arial" w:cs="Arial"/>
                <w:sz w:val="20"/>
                <w:szCs w:val="20"/>
              </w:rPr>
              <w:t xml:space="preserve"> the rules of EU Constitutional Law</w:t>
            </w:r>
            <w:r w:rsidR="00D209CF">
              <w:rPr>
                <w:rFonts w:ascii="Arial" w:hAnsi="Arial" w:cs="Arial"/>
                <w:sz w:val="20"/>
                <w:szCs w:val="20"/>
              </w:rPr>
              <w:t xml:space="preserve"> to a given set of facts</w:t>
            </w:r>
          </w:p>
          <w:p w:rsidR="00B974D4" w:rsidRPr="00B574B0" w:rsidRDefault="00B974D4" w:rsidP="00B1114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color w:val="000000"/>
                <w:sz w:val="20"/>
              </w:rPr>
              <w:t>Advanced ability to search and use speciali</w:t>
            </w:r>
            <w:r w:rsidR="00534114">
              <w:rPr>
                <w:rFonts w:ascii="Arial" w:hAnsi="Arial" w:cs="Arial"/>
                <w:color w:val="000000"/>
                <w:sz w:val="20"/>
              </w:rPr>
              <w:t>s</w:t>
            </w:r>
            <w:r w:rsidRPr="00EE5B21">
              <w:rPr>
                <w:rFonts w:ascii="Arial" w:hAnsi="Arial" w:cs="Arial"/>
                <w:color w:val="000000"/>
                <w:sz w:val="20"/>
              </w:rPr>
              <w:t>ed on-line resources of jurisprudence in EU Constitutional Law and other speciali</w:t>
            </w:r>
            <w:r w:rsidR="00B11145">
              <w:rPr>
                <w:rFonts w:ascii="Arial" w:hAnsi="Arial" w:cs="Arial"/>
                <w:color w:val="000000"/>
                <w:sz w:val="20"/>
              </w:rPr>
              <w:t>s</w:t>
            </w:r>
            <w:r w:rsidRPr="00EE5B21">
              <w:rPr>
                <w:rFonts w:ascii="Arial" w:hAnsi="Arial" w:cs="Arial"/>
                <w:color w:val="000000"/>
                <w:sz w:val="20"/>
              </w:rPr>
              <w:t xml:space="preserve">ed on-line resources of literature for tracking recent developments in the </w:t>
            </w:r>
            <w:r w:rsidR="00B11145">
              <w:rPr>
                <w:rFonts w:ascii="Arial" w:hAnsi="Arial" w:cs="Arial"/>
                <w:color w:val="000000"/>
                <w:sz w:val="20"/>
              </w:rPr>
              <w:t>field</w:t>
            </w:r>
            <w:r w:rsidRPr="00EE5B21">
              <w:rPr>
                <w:rFonts w:ascii="Arial" w:hAnsi="Arial" w:cs="Arial"/>
                <w:color w:val="000000"/>
                <w:sz w:val="20"/>
              </w:rPr>
              <w:t xml:space="preserve"> of EU Constitutional Law</w:t>
            </w:r>
          </w:p>
          <w:p w:rsidR="00B574B0" w:rsidRPr="00501921" w:rsidRDefault="00501921" w:rsidP="00B1114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Ability and skill to write a comprehensive and concise report tracking the current status and most recent developments on various topics of EU Constitutional Law</w:t>
            </w:r>
          </w:p>
          <w:p w:rsidR="00501921" w:rsidRPr="00EE5B21" w:rsidRDefault="00501921" w:rsidP="00501921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74D4" w:rsidRPr="00534114" w:rsidRDefault="00B974D4" w:rsidP="0053411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4D4" w:rsidRDefault="00B974D4" w:rsidP="0053411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974D4" w:rsidRPr="00D719AE" w:rsidRDefault="00B974D4" w:rsidP="0053411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974D4" w:rsidRPr="00CA67B2" w:rsidRDefault="00B974D4" w:rsidP="00B974D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Set reading lists will direct students to relevant material and they will be guided through independent study. </w:t>
            </w:r>
          </w:p>
          <w:p w:rsidR="00B974D4" w:rsidRPr="00CA67B2" w:rsidRDefault="00B974D4" w:rsidP="00534114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(PS: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Pr="00CA67B2" w:rsidRDefault="00CE4191" w:rsidP="00B974D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>s operate as a platfor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m for group discussion, debate 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in-depth 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>case-study analysis.(PS:1-</w:t>
            </w:r>
            <w:r w:rsidR="00B974D4">
              <w:rPr>
                <w:rFonts w:ascii="Arial" w:hAnsi="Arial" w:cs="Arial"/>
                <w:sz w:val="20"/>
                <w:szCs w:val="20"/>
              </w:rPr>
              <w:t>2</w:t>
            </w:r>
            <w:r w:rsidR="00B974D4"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Default="00B974D4" w:rsidP="00B974D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Students will be s</w:t>
            </w:r>
            <w:r>
              <w:rPr>
                <w:rFonts w:ascii="Arial" w:hAnsi="Arial" w:cs="Arial"/>
                <w:sz w:val="20"/>
                <w:szCs w:val="20"/>
              </w:rPr>
              <w:t xml:space="preserve">et assignments </w:t>
            </w:r>
            <w:r w:rsidR="00534114">
              <w:rPr>
                <w:rFonts w:ascii="Arial" w:hAnsi="Arial" w:cs="Arial"/>
                <w:sz w:val="20"/>
                <w:szCs w:val="20"/>
              </w:rPr>
              <w:t xml:space="preserve">which test knowledge, writing and research skills </w:t>
            </w:r>
            <w:r w:rsidR="00E65A11">
              <w:rPr>
                <w:rFonts w:ascii="Arial" w:hAnsi="Arial" w:cs="Arial"/>
                <w:sz w:val="20"/>
                <w:szCs w:val="20"/>
              </w:rPr>
              <w:t>(PS:1-</w:t>
            </w:r>
            <w:r w:rsidR="00534114">
              <w:rPr>
                <w:rFonts w:ascii="Arial" w:hAnsi="Arial" w:cs="Arial"/>
                <w:sz w:val="20"/>
                <w:szCs w:val="20"/>
              </w:rPr>
              <w:t>4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Default="00534114" w:rsidP="0053411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Films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 (documentary and historic) will </w:t>
            </w:r>
            <w:r>
              <w:rPr>
                <w:rFonts w:ascii="Arial" w:hAnsi="Arial" w:cs="Arial"/>
                <w:sz w:val="20"/>
                <w:szCs w:val="20"/>
              </w:rPr>
              <w:t>aid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 in the interpretation and application </w:t>
            </w:r>
            <w:r w:rsidR="00E65A11">
              <w:rPr>
                <w:rFonts w:ascii="Arial" w:hAnsi="Arial" w:cs="Arial"/>
                <w:sz w:val="20"/>
                <w:szCs w:val="20"/>
              </w:rPr>
              <w:t>of EU Constitutional Law (PS:1,</w:t>
            </w:r>
            <w:r>
              <w:rPr>
                <w:rFonts w:ascii="Arial" w:hAnsi="Arial" w:cs="Arial"/>
                <w:sz w:val="20"/>
                <w:szCs w:val="20"/>
              </w:rPr>
              <w:t>3,4</w:t>
            </w:r>
            <w:r w:rsidR="00B974D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1921" w:rsidRDefault="00F73788" w:rsidP="0053411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will practice r</w:t>
            </w:r>
            <w:r w:rsidR="00501921">
              <w:rPr>
                <w:rFonts w:ascii="Arial" w:hAnsi="Arial" w:cs="Arial"/>
                <w:sz w:val="20"/>
                <w:szCs w:val="20"/>
              </w:rPr>
              <w:t xml:space="preserve">eport writing </w:t>
            </w:r>
            <w:r>
              <w:rPr>
                <w:rFonts w:ascii="Arial" w:hAnsi="Arial" w:cs="Arial"/>
                <w:sz w:val="20"/>
                <w:szCs w:val="20"/>
              </w:rPr>
              <w:t xml:space="preserve">to develop written skills </w:t>
            </w:r>
            <w:r w:rsidR="00501921">
              <w:rPr>
                <w:rFonts w:ascii="Arial" w:hAnsi="Arial" w:cs="Arial"/>
                <w:sz w:val="20"/>
                <w:szCs w:val="20"/>
              </w:rPr>
              <w:t>(PS: 1,4,5)</w:t>
            </w:r>
          </w:p>
          <w:p w:rsidR="00D209CF" w:rsidRPr="00501921" w:rsidRDefault="00D209CF" w:rsidP="00501921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4D4" w:rsidRPr="00E807BA" w:rsidTr="00EE5B21">
        <w:trPr>
          <w:cantSplit/>
          <w:trHeight w:val="1424"/>
        </w:trPr>
        <w:tc>
          <w:tcPr>
            <w:tcW w:w="42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Default="00B974D4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4D4" w:rsidRDefault="00B974D4" w:rsidP="0053411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B974D4" w:rsidRDefault="00B974D4" w:rsidP="005341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11145" w:rsidRPr="00B11145" w:rsidRDefault="00B974D4" w:rsidP="00B111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B11145">
              <w:rPr>
                <w:rFonts w:ascii="Arial" w:hAnsi="Arial" w:cs="Arial"/>
                <w:sz w:val="20"/>
                <w:szCs w:val="20"/>
              </w:rPr>
              <w:t>Written examination – final exam, mid-</w:t>
            </w:r>
            <w:r w:rsidR="00B11145" w:rsidRPr="00B11145">
              <w:rPr>
                <w:rFonts w:ascii="Arial" w:hAnsi="Arial" w:cs="Arial"/>
                <w:sz w:val="20"/>
                <w:szCs w:val="20"/>
              </w:rPr>
              <w:t>semester</w:t>
            </w:r>
            <w:r w:rsidRPr="00B11145">
              <w:rPr>
                <w:rFonts w:ascii="Arial" w:hAnsi="Arial" w:cs="Arial"/>
                <w:sz w:val="20"/>
                <w:szCs w:val="20"/>
              </w:rPr>
              <w:t xml:space="preserve"> test </w:t>
            </w:r>
          </w:p>
          <w:p w:rsidR="00B974D4" w:rsidRPr="00B11145" w:rsidRDefault="00B11145" w:rsidP="00B11145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974D4" w:rsidRPr="00B11145">
              <w:rPr>
                <w:rFonts w:ascii="Arial" w:hAnsi="Arial" w:cs="Arial"/>
                <w:sz w:val="20"/>
                <w:szCs w:val="20"/>
              </w:rPr>
              <w:t>PS: 1-</w:t>
            </w:r>
            <w:r w:rsidR="00534114" w:rsidRPr="00B11145">
              <w:rPr>
                <w:rFonts w:ascii="Arial" w:hAnsi="Arial" w:cs="Arial"/>
                <w:sz w:val="20"/>
                <w:szCs w:val="20"/>
              </w:rPr>
              <w:t>4</w:t>
            </w:r>
            <w:r w:rsidR="00B974D4" w:rsidRPr="00B111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Pr="00B11145" w:rsidRDefault="00B11145" w:rsidP="00B111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 assignments: </w:t>
            </w:r>
            <w:r w:rsidR="00B974D4" w:rsidRPr="00B11145">
              <w:rPr>
                <w:rFonts w:ascii="Arial" w:hAnsi="Arial" w:cs="Arial"/>
                <w:sz w:val="20"/>
                <w:szCs w:val="20"/>
              </w:rPr>
              <w:t xml:space="preserve">essay </w:t>
            </w:r>
            <w:r w:rsidR="00501921" w:rsidRPr="00B11145">
              <w:rPr>
                <w:rFonts w:ascii="Arial" w:hAnsi="Arial" w:cs="Arial"/>
                <w:sz w:val="20"/>
                <w:szCs w:val="20"/>
              </w:rPr>
              <w:t>(PS: 1-4) and report (PS: 1-5</w:t>
            </w:r>
            <w:r w:rsidR="00B974D4" w:rsidRPr="00B1114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974D4" w:rsidRPr="00484CD7" w:rsidRDefault="00B974D4" w:rsidP="00534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4D4" w:rsidRPr="00E807BA" w:rsidTr="00E9147A">
        <w:trPr>
          <w:cantSplit/>
        </w:trPr>
        <w:tc>
          <w:tcPr>
            <w:tcW w:w="421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Transferable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Skills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11145" w:rsidRPr="00BC4B2E" w:rsidRDefault="00B11145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EE5B21" w:rsidRDefault="00B974D4" w:rsidP="00EE5B2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Effective information retrieval skills</w:t>
            </w:r>
          </w:p>
          <w:p w:rsidR="00B974D4" w:rsidRPr="00EE5B21" w:rsidRDefault="00B974D4" w:rsidP="00EE5B2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Ability to extrapolate from incomplete information</w:t>
            </w:r>
          </w:p>
          <w:p w:rsidR="00B974D4" w:rsidRPr="00EE5B21" w:rsidRDefault="00B974D4" w:rsidP="00EE5B2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Ability to formulate reasoned arguments for decisions</w:t>
            </w:r>
          </w:p>
          <w:p w:rsidR="00B974D4" w:rsidRPr="00EE5B21" w:rsidRDefault="00B974D4" w:rsidP="00EE5B2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Presentation skills</w:t>
            </w:r>
          </w:p>
          <w:p w:rsidR="00B974D4" w:rsidRPr="00EE5B21" w:rsidRDefault="00B974D4" w:rsidP="00EE5B2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E5B21">
              <w:rPr>
                <w:rFonts w:ascii="Arial" w:hAnsi="Arial" w:cs="Arial"/>
                <w:sz w:val="20"/>
                <w:szCs w:val="20"/>
              </w:rPr>
              <w:t>Ability to identify, summarise and critique theories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Pr="00BC4B2E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4D4" w:rsidRDefault="00B974D4" w:rsidP="0053411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B974D4" w:rsidRPr="00D719AE" w:rsidRDefault="00B974D4" w:rsidP="0053411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974D4" w:rsidRDefault="00B974D4" w:rsidP="00B974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Lectures provide the core (pra</w:t>
            </w:r>
            <w:r w:rsidR="00534114">
              <w:rPr>
                <w:rFonts w:ascii="Arial" w:hAnsi="Arial" w:cs="Arial"/>
                <w:sz w:val="20"/>
                <w:szCs w:val="20"/>
              </w:rPr>
              <w:t>ctical) knowledge and are comple</w:t>
            </w:r>
            <w:r>
              <w:rPr>
                <w:rFonts w:ascii="Arial" w:hAnsi="Arial" w:cs="Arial"/>
                <w:sz w:val="20"/>
                <w:szCs w:val="20"/>
              </w:rPr>
              <w:t>mented by a set reading list which students are expected to study from. Students are encouraged to prepare for lectures and question material. (TS: 2-5)</w:t>
            </w:r>
          </w:p>
          <w:p w:rsidR="00B11145" w:rsidRDefault="00CE4191" w:rsidP="00B974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B974D4">
              <w:rPr>
                <w:rFonts w:ascii="Arial" w:hAnsi="Arial" w:cs="Arial"/>
                <w:sz w:val="20"/>
                <w:szCs w:val="20"/>
              </w:rPr>
              <w:t xml:space="preserve">s discuss key subjects in greater detail and provide a platform for group exercises and debate. </w:t>
            </w:r>
          </w:p>
          <w:p w:rsidR="00B974D4" w:rsidRDefault="00B974D4" w:rsidP="00B1114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(TS: 2,3,</w:t>
            </w:r>
            <w:r w:rsidR="00EE5B21">
              <w:rPr>
                <w:rFonts w:ascii="Arial" w:hAnsi="Arial" w:cs="Arial"/>
                <w:sz w:val="20"/>
                <w:szCs w:val="20"/>
              </w:rPr>
              <w:t>4,</w:t>
            </w:r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  <w:p w:rsidR="00B974D4" w:rsidRDefault="00B974D4" w:rsidP="00B974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Tutors set topical assignments and guide students through independent study. (TS: 1,2,4,5)</w:t>
            </w:r>
          </w:p>
          <w:p w:rsidR="00B974D4" w:rsidRDefault="00B974D4" w:rsidP="00B974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presentations on specific previously assigned topics and group discussions in class contribute to mastery of transferrable skills (TS: 1-5)</w:t>
            </w:r>
          </w:p>
          <w:p w:rsidR="00501921" w:rsidRDefault="00F73788" w:rsidP="00B974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q</w:t>
            </w:r>
            <w:r w:rsidR="00501921">
              <w:rPr>
                <w:rFonts w:ascii="Arial" w:hAnsi="Arial" w:cs="Arial"/>
                <w:sz w:val="20"/>
                <w:szCs w:val="20"/>
              </w:rPr>
              <w:t xml:space="preserve">uizzes </w:t>
            </w:r>
            <w:r>
              <w:rPr>
                <w:rFonts w:ascii="Arial" w:hAnsi="Arial" w:cs="Arial"/>
                <w:sz w:val="20"/>
                <w:szCs w:val="20"/>
              </w:rPr>
              <w:t xml:space="preserve">in class will test student subject knowledge </w:t>
            </w:r>
            <w:r w:rsidR="00501921">
              <w:rPr>
                <w:rFonts w:ascii="Arial" w:hAnsi="Arial" w:cs="Arial"/>
                <w:sz w:val="20"/>
                <w:szCs w:val="20"/>
              </w:rPr>
              <w:t>(TS: 1,2)</w:t>
            </w:r>
          </w:p>
          <w:p w:rsidR="00501921" w:rsidRPr="00DF5699" w:rsidRDefault="00501921" w:rsidP="00B974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Guided report writing (TS: 1-4)</w:t>
            </w:r>
          </w:p>
        </w:tc>
      </w:tr>
      <w:tr w:rsidR="00B974D4" w:rsidRPr="00E807BA" w:rsidTr="00E9147A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0F11CA" w:rsidRPr="00BC4B2E" w:rsidRDefault="000F11CA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974D4" w:rsidRPr="00BC4B2E" w:rsidRDefault="00B974D4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74D4" w:rsidRDefault="00B974D4" w:rsidP="0053411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B974D4" w:rsidRDefault="00B974D4" w:rsidP="0053411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741D7" w:rsidRPr="00A741D7" w:rsidRDefault="00A741D7" w:rsidP="00A741D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741D7">
              <w:rPr>
                <w:rFonts w:ascii="Arial" w:hAnsi="Arial" w:cs="Arial"/>
                <w:sz w:val="20"/>
                <w:szCs w:val="20"/>
              </w:rPr>
              <w:t xml:space="preserve">Written examination: </w:t>
            </w:r>
            <w:r w:rsidR="00B974D4" w:rsidRPr="00A741D7">
              <w:rPr>
                <w:rFonts w:ascii="Arial" w:hAnsi="Arial" w:cs="Arial"/>
                <w:sz w:val="20"/>
                <w:szCs w:val="20"/>
              </w:rPr>
              <w:t>final exam, mid-</w:t>
            </w:r>
            <w:r w:rsidRPr="00A741D7">
              <w:rPr>
                <w:rFonts w:ascii="Arial" w:hAnsi="Arial" w:cs="Arial"/>
                <w:sz w:val="20"/>
                <w:szCs w:val="20"/>
              </w:rPr>
              <w:t xml:space="preserve">semester </w:t>
            </w:r>
            <w:r w:rsidR="00B974D4" w:rsidRPr="00A741D7">
              <w:rPr>
                <w:rFonts w:ascii="Arial" w:hAnsi="Arial" w:cs="Arial"/>
                <w:sz w:val="20"/>
                <w:szCs w:val="20"/>
              </w:rPr>
              <w:t xml:space="preserve">test </w:t>
            </w:r>
          </w:p>
          <w:p w:rsidR="00A741D7" w:rsidRDefault="00B974D4" w:rsidP="00A741D7">
            <w:pPr>
              <w:pStyle w:val="ListParagraph"/>
              <w:ind w:left="501"/>
              <w:rPr>
                <w:rFonts w:ascii="Arial" w:hAnsi="Arial" w:cs="Arial"/>
                <w:sz w:val="20"/>
                <w:szCs w:val="20"/>
              </w:rPr>
            </w:pPr>
            <w:r w:rsidRPr="00A741D7">
              <w:rPr>
                <w:rFonts w:ascii="Arial" w:hAnsi="Arial" w:cs="Arial"/>
                <w:sz w:val="20"/>
                <w:szCs w:val="20"/>
              </w:rPr>
              <w:t>(TS: 2-5)</w:t>
            </w:r>
          </w:p>
          <w:p w:rsidR="00A741D7" w:rsidRDefault="00A741D7" w:rsidP="0053411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 assignments: </w:t>
            </w:r>
            <w:r w:rsidR="00B974D4" w:rsidRPr="00A741D7">
              <w:rPr>
                <w:rFonts w:ascii="Arial" w:hAnsi="Arial" w:cs="Arial"/>
                <w:sz w:val="20"/>
                <w:szCs w:val="20"/>
              </w:rPr>
              <w:t>essay</w:t>
            </w:r>
            <w:r w:rsidR="00501921">
              <w:rPr>
                <w:rFonts w:ascii="Arial" w:hAnsi="Arial" w:cs="Arial"/>
                <w:sz w:val="20"/>
                <w:szCs w:val="20"/>
              </w:rPr>
              <w:t xml:space="preserve"> and report</w:t>
            </w:r>
            <w:r w:rsidR="00B974D4" w:rsidRPr="00A741D7">
              <w:rPr>
                <w:rFonts w:ascii="Arial" w:hAnsi="Arial" w:cs="Arial"/>
                <w:sz w:val="20"/>
                <w:szCs w:val="20"/>
              </w:rPr>
              <w:t xml:space="preserve"> (TS: 1-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974D4" w:rsidRPr="00A741D7">
              <w:rPr>
                <w:rFonts w:ascii="Arial" w:hAnsi="Arial" w:cs="Arial"/>
                <w:sz w:val="20"/>
                <w:szCs w:val="20"/>
              </w:rPr>
              <w:t>)</w:t>
            </w:r>
            <w:r w:rsidR="00B974D4" w:rsidRPr="00A741D7">
              <w:rPr>
                <w:rFonts w:ascii="Arial" w:hAnsi="Arial" w:cs="Arial"/>
                <w:sz w:val="20"/>
                <w:szCs w:val="20"/>
              </w:rPr>
              <w:tab/>
            </w:r>
          </w:p>
          <w:p w:rsidR="00B974D4" w:rsidRDefault="00B974D4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F11CA" w:rsidRDefault="000F11CA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83942" w:rsidRDefault="00283942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83942" w:rsidRDefault="00283942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83942" w:rsidRPr="00DF5699" w:rsidRDefault="00283942" w:rsidP="0053411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AC" w:rsidRPr="00E807BA" w:rsidTr="00E9147A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7EAC" w:rsidRPr="00A97EAC" w:rsidRDefault="00A97EAC" w:rsidP="00E42E43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97EAC">
              <w:rPr>
                <w:rFonts w:ascii="Arial" w:hAnsi="Arial" w:cs="Arial"/>
                <w:b/>
                <w:sz w:val="26"/>
                <w:szCs w:val="26"/>
                <w:u w:val="single"/>
              </w:rPr>
              <w:lastRenderedPageBreak/>
              <w:t>Key Texts and/or other learning materials</w:t>
            </w:r>
          </w:p>
        </w:tc>
      </w:tr>
      <w:tr w:rsidR="00E42E43" w:rsidRPr="00E807BA" w:rsidTr="00BC4B2E">
        <w:trPr>
          <w:cantSplit/>
        </w:trPr>
        <w:tc>
          <w:tcPr>
            <w:tcW w:w="10456" w:type="dxa"/>
            <w:gridSpan w:val="4"/>
            <w:shd w:val="clear" w:color="auto" w:fill="auto"/>
          </w:tcPr>
          <w:p w:rsidR="00E42E43" w:rsidRPr="00BC4B2E" w:rsidRDefault="00E42E43" w:rsidP="00E42E4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42E43" w:rsidRDefault="00E42E43" w:rsidP="00E42E4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26F90" w:rsidRPr="008D120E" w:rsidRDefault="00226F90" w:rsidP="008D120E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D120E">
              <w:rPr>
                <w:rFonts w:ascii="Arial" w:hAnsi="Arial" w:cs="Arial"/>
                <w:b/>
                <w:sz w:val="20"/>
                <w:szCs w:val="20"/>
              </w:rPr>
              <w:t>Key texts:</w:t>
            </w:r>
          </w:p>
          <w:p w:rsidR="001953FF" w:rsidRPr="001953FF" w:rsidRDefault="00057639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Fairhurst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 w:rsidR="00591B8B">
              <w:rPr>
                <w:rFonts w:ascii="Arial" w:hAnsi="Arial" w:cs="Arial"/>
                <w:sz w:val="20"/>
                <w:szCs w:val="20"/>
              </w:rPr>
              <w:t xml:space="preserve"> J., 2012.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B8B">
              <w:rPr>
                <w:rFonts w:ascii="Arial" w:hAnsi="Arial" w:cs="Arial"/>
                <w:i/>
                <w:sz w:val="20"/>
                <w:szCs w:val="20"/>
              </w:rPr>
              <w:t>Law of the European Union</w:t>
            </w:r>
            <w:r w:rsidR="00591B8B">
              <w:rPr>
                <w:rFonts w:ascii="Arial" w:hAnsi="Arial" w:cs="Arial"/>
                <w:sz w:val="20"/>
                <w:szCs w:val="20"/>
              </w:rPr>
              <w:t>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591B8B" w:rsidRPr="00591B8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91B8B">
              <w:rPr>
                <w:rFonts w:ascii="Arial" w:hAnsi="Arial" w:cs="Arial"/>
                <w:sz w:val="20"/>
                <w:szCs w:val="20"/>
              </w:rPr>
              <w:t xml:space="preserve"> ed. London: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Longman</w:t>
            </w:r>
            <w:r w:rsidR="00591B8B">
              <w:rPr>
                <w:rFonts w:ascii="Arial" w:hAnsi="Arial" w:cs="Arial"/>
                <w:sz w:val="20"/>
                <w:szCs w:val="20"/>
              </w:rPr>
              <w:t>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7639" w:rsidRDefault="00591B8B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Craig, P. and </w:t>
            </w:r>
            <w:r w:rsidR="00057639" w:rsidRPr="001953FF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057639" w:rsidRPr="001953FF">
              <w:rPr>
                <w:rFonts w:ascii="Arial" w:hAnsi="Arial" w:cs="Arial"/>
                <w:sz w:val="20"/>
                <w:szCs w:val="20"/>
              </w:rPr>
              <w:t>Búrca</w:t>
            </w:r>
            <w:proofErr w:type="spellEnd"/>
            <w:r w:rsidR="00057639" w:rsidRPr="001953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G., 2011. </w:t>
            </w:r>
            <w:r w:rsidR="00057639" w:rsidRPr="00591B8B">
              <w:rPr>
                <w:rFonts w:ascii="Arial" w:hAnsi="Arial" w:cs="Arial"/>
                <w:i/>
                <w:sz w:val="20"/>
                <w:szCs w:val="20"/>
              </w:rPr>
              <w:t xml:space="preserve">EU Law Text, </w:t>
            </w:r>
            <w:r w:rsidRPr="00591B8B">
              <w:rPr>
                <w:rFonts w:ascii="Arial" w:hAnsi="Arial" w:cs="Arial"/>
                <w:i/>
                <w:sz w:val="20"/>
                <w:szCs w:val="20"/>
              </w:rPr>
              <w:t>Cases and Materials</w:t>
            </w:r>
            <w:r>
              <w:rPr>
                <w:rFonts w:ascii="Arial" w:hAnsi="Arial" w:cs="Arial"/>
                <w:sz w:val="20"/>
                <w:szCs w:val="20"/>
              </w:rPr>
              <w:t>. 5</w:t>
            </w:r>
            <w:r w:rsidRPr="00591B8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  <w:r w:rsidR="00057639"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6F90" w:rsidRPr="008D120E" w:rsidRDefault="00226F90" w:rsidP="008D120E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D120E">
              <w:rPr>
                <w:rFonts w:ascii="Arial" w:hAnsi="Arial" w:cs="Arial"/>
                <w:b/>
                <w:sz w:val="20"/>
                <w:szCs w:val="20"/>
              </w:rPr>
              <w:t>Other learning materials:</w:t>
            </w:r>
          </w:p>
          <w:p w:rsidR="008D120E" w:rsidRDefault="008D120E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Schuetze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R., 2012. </w:t>
            </w:r>
            <w:r w:rsidRPr="008D120E">
              <w:rPr>
                <w:rFonts w:ascii="Arial" w:hAnsi="Arial" w:cs="Arial"/>
                <w:i/>
                <w:sz w:val="20"/>
                <w:szCs w:val="20"/>
              </w:rPr>
              <w:t>European Constitutional Law.</w:t>
            </w:r>
            <w:r>
              <w:rPr>
                <w:rFonts w:ascii="Arial" w:hAnsi="Arial" w:cs="Arial"/>
                <w:sz w:val="20"/>
                <w:szCs w:val="20"/>
              </w:rPr>
              <w:t xml:space="preserve"> Cambridge: Cambridge University Press.</w:t>
            </w:r>
          </w:p>
          <w:p w:rsidR="00226F90" w:rsidRPr="00226F90" w:rsidRDefault="00226F90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Craig, P. and 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Búrca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G., 2011. </w:t>
            </w:r>
            <w:r w:rsidR="008D120E">
              <w:rPr>
                <w:rFonts w:ascii="Arial" w:hAnsi="Arial" w:cs="Arial"/>
                <w:i/>
                <w:sz w:val="20"/>
                <w:szCs w:val="20"/>
              </w:rPr>
              <w:t>The E</w:t>
            </w:r>
            <w:r>
              <w:rPr>
                <w:rFonts w:ascii="Arial" w:hAnsi="Arial" w:cs="Arial"/>
                <w:i/>
                <w:sz w:val="20"/>
                <w:szCs w:val="20"/>
              </w:rPr>
              <w:t>volution of EU Law</w:t>
            </w:r>
            <w:r>
              <w:rPr>
                <w:rFonts w:ascii="Arial" w:hAnsi="Arial" w:cs="Arial"/>
                <w:sz w:val="20"/>
                <w:szCs w:val="20"/>
              </w:rPr>
              <w:t>. 2</w:t>
            </w:r>
            <w:r w:rsidRPr="00226F9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53FF" w:rsidRPr="001953FF" w:rsidRDefault="00057639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Weatherill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 S.,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2012. </w:t>
            </w:r>
            <w:r w:rsidR="00226F90" w:rsidRPr="00226F90">
              <w:rPr>
                <w:rFonts w:ascii="Arial" w:hAnsi="Arial" w:cs="Arial"/>
                <w:i/>
                <w:sz w:val="20"/>
                <w:szCs w:val="20"/>
              </w:rPr>
              <w:t>Cases and Materials on EU Law</w:t>
            </w:r>
            <w:r w:rsidR="00226F90">
              <w:rPr>
                <w:rFonts w:ascii="Arial" w:hAnsi="Arial" w:cs="Arial"/>
                <w:sz w:val="20"/>
                <w:szCs w:val="20"/>
              </w:rPr>
              <w:t>. 10</w:t>
            </w:r>
            <w:r w:rsidR="00226F90" w:rsidRPr="00226F9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</w:p>
          <w:p w:rsidR="00D172F5" w:rsidRDefault="00057639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53FF">
              <w:rPr>
                <w:rFonts w:ascii="Arial" w:hAnsi="Arial" w:cs="Arial"/>
                <w:sz w:val="20"/>
                <w:szCs w:val="20"/>
              </w:rPr>
              <w:t xml:space="preserve">Josephine Steiner and Lorna Woods, 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2012. </w:t>
            </w:r>
            <w:r w:rsidR="00226F90" w:rsidRPr="00226F90">
              <w:rPr>
                <w:rFonts w:ascii="Arial" w:hAnsi="Arial" w:cs="Arial"/>
                <w:i/>
                <w:sz w:val="20"/>
                <w:szCs w:val="20"/>
              </w:rPr>
              <w:t>EU Law.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226F90">
              <w:rPr>
                <w:rFonts w:ascii="Arial" w:hAnsi="Arial" w:cs="Arial"/>
                <w:sz w:val="20"/>
                <w:szCs w:val="20"/>
              </w:rPr>
              <w:t>1</w:t>
            </w:r>
            <w:r w:rsidR="00226F90" w:rsidRPr="00226F9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26F90"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</w:p>
          <w:p w:rsidR="008D120E" w:rsidRDefault="008D120E" w:rsidP="008D120E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Foster, N., 2012. </w:t>
            </w:r>
            <w:r w:rsidRPr="008D120E">
              <w:rPr>
                <w:rFonts w:ascii="Arial" w:hAnsi="Arial" w:cs="Arial"/>
                <w:i/>
                <w:sz w:val="20"/>
                <w:szCs w:val="20"/>
              </w:rPr>
              <w:t>Blackstone’s EU Treaties and Legislation.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Oxford: Oxford University Press.</w:t>
            </w:r>
          </w:p>
          <w:p w:rsidR="00E42E43" w:rsidRPr="00273D3B" w:rsidRDefault="008D120E" w:rsidP="00273D3B">
            <w:pPr>
              <w:pStyle w:val="ListParagraph"/>
              <w:numPr>
                <w:ilvl w:val="0"/>
                <w:numId w:val="5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2013. </w:t>
            </w:r>
            <w:r w:rsidRPr="008D120E">
              <w:rPr>
                <w:rFonts w:ascii="Arial" w:hAnsi="Arial" w:cs="Arial"/>
                <w:i/>
                <w:sz w:val="20"/>
                <w:szCs w:val="20"/>
              </w:rPr>
              <w:t>Access to European Union Law.</w:t>
            </w:r>
            <w:r>
              <w:rPr>
                <w:rFonts w:ascii="Arial" w:hAnsi="Arial" w:cs="Arial"/>
                <w:sz w:val="20"/>
                <w:szCs w:val="20"/>
              </w:rPr>
              <w:t xml:space="preserve"> Available at </w:t>
            </w:r>
            <w:hyperlink r:id="rId9" w:history="1">
              <w:r w:rsidRPr="00644F0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http://eur-lex.europa.eu/JURISIndex.do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(Accessed 16 July 2013).</w:t>
            </w:r>
          </w:p>
        </w:tc>
      </w:tr>
      <w:tr w:rsidR="00A3537D" w:rsidRPr="00E807BA" w:rsidTr="00BC4B2E">
        <w:tc>
          <w:tcPr>
            <w:tcW w:w="10456" w:type="dxa"/>
            <w:gridSpan w:val="4"/>
          </w:tcPr>
          <w:p w:rsidR="00E807BA" w:rsidRPr="00BC4B2E" w:rsidRDefault="00A3537D" w:rsidP="00E807BA">
            <w:pPr>
              <w:rPr>
                <w:rFonts w:ascii="Arial" w:hAnsi="Arial" w:cs="Arial"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Please note: 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This specification provides a concise summary of the main features of the </w:t>
            </w:r>
            <w:r w:rsidR="00E42E43" w:rsidRPr="00BC4B2E">
              <w:rPr>
                <w:rFonts w:ascii="Arial" w:hAnsi="Arial" w:cs="Arial"/>
                <w:sz w:val="20"/>
                <w:szCs w:val="20"/>
              </w:rPr>
              <w:t>module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and the learning outcomes that a typical student might reasonably be expected to achieve and demonstrate if he/she takes full advantage of the learning opportunities that are provided.  More detailed information on the learning outcomes, content and teaching, learning and assessment methods of each </w:t>
            </w:r>
            <w:r w:rsidR="00E42E43" w:rsidRPr="00BC4B2E">
              <w:rPr>
                <w:rFonts w:ascii="Arial" w:hAnsi="Arial" w:cs="Arial"/>
                <w:sz w:val="20"/>
                <w:szCs w:val="20"/>
              </w:rPr>
              <w:t>module and programme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can be found in the departmental </w:t>
            </w:r>
            <w:r w:rsidR="00FF60B4" w:rsidRPr="00BC4B2E">
              <w:rPr>
                <w:rFonts w:ascii="Arial" w:hAnsi="Arial" w:cs="Arial"/>
                <w:sz w:val="20"/>
                <w:szCs w:val="20"/>
              </w:rPr>
              <w:t>or programme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handbook.  The accuracy of the information contained in this document is reviewed annually by </w:t>
            </w:r>
            <w:r w:rsidR="00E807BA" w:rsidRPr="00BC4B2E">
              <w:rPr>
                <w:rFonts w:ascii="Arial" w:hAnsi="Arial" w:cs="Arial"/>
                <w:sz w:val="20"/>
                <w:szCs w:val="20"/>
              </w:rPr>
              <w:t>the University of Buckingham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and may be checked by the Quality Assurance Agency.</w:t>
            </w:r>
          </w:p>
          <w:p w:rsidR="00E807BA" w:rsidRPr="00BC4B2E" w:rsidRDefault="00E807BA" w:rsidP="00E807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BC4B2E" w:rsidRDefault="00A3537D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 Production:</w:t>
            </w:r>
          </w:p>
          <w:p w:rsidR="00A3537D" w:rsidRPr="00BC4B2E" w:rsidRDefault="00A3537D" w:rsidP="00FF7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37D" w:rsidRPr="00E807BA" w:rsidTr="00BC4B2E">
        <w:trPr>
          <w:cantSplit/>
        </w:trPr>
        <w:tc>
          <w:tcPr>
            <w:tcW w:w="3369" w:type="dxa"/>
          </w:tcPr>
          <w:p w:rsidR="00A3537D" w:rsidRPr="00BC4B2E" w:rsidRDefault="00A3537D" w:rsidP="00AA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Date approved by </w:t>
            </w:r>
            <w:r w:rsidR="00AA7E84" w:rsidRPr="00BC4B2E">
              <w:rPr>
                <w:rFonts w:ascii="Arial" w:hAnsi="Arial" w:cs="Arial"/>
                <w:b/>
                <w:sz w:val="20"/>
                <w:szCs w:val="20"/>
              </w:rPr>
              <w:t>School Learning and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Teaching Committee</w:t>
            </w: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School Board of Study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BC4B2E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University Learning and Teaching Committee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347" w:rsidRPr="00E807BA" w:rsidTr="00BC4B2E">
        <w:trPr>
          <w:cantSplit/>
        </w:trPr>
        <w:tc>
          <w:tcPr>
            <w:tcW w:w="3369" w:type="dxa"/>
          </w:tcPr>
          <w:p w:rsidR="00231347" w:rsidRPr="00BC4B2E" w:rsidRDefault="00231347" w:rsidP="00534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Review:</w:t>
            </w:r>
          </w:p>
          <w:p w:rsidR="00231347" w:rsidRPr="00BC4B2E" w:rsidRDefault="00231347" w:rsidP="005341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231347" w:rsidRPr="00E807BA" w:rsidRDefault="00231347" w:rsidP="00534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F81" w:rsidRDefault="00DF1F81" w:rsidP="0009429E">
      <w:pPr>
        <w:rPr>
          <w:rFonts w:ascii="Arial" w:hAnsi="Arial" w:cs="Arial"/>
          <w:b/>
          <w:sz w:val="32"/>
          <w:szCs w:val="32"/>
          <w:u w:val="single"/>
        </w:rPr>
      </w:pPr>
    </w:p>
    <w:sectPr w:rsidR="00DF1F81" w:rsidSect="00BC4B2E"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AE" w:rsidRDefault="00ED68AE" w:rsidP="004830EC">
      <w:r>
        <w:separator/>
      </w:r>
    </w:p>
  </w:endnote>
  <w:endnote w:type="continuationSeparator" w:id="0">
    <w:p w:rsidR="00ED68AE" w:rsidRDefault="00ED68AE" w:rsidP="0048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AE" w:rsidRDefault="00ED68AE" w:rsidP="004830EC">
      <w:r>
        <w:separator/>
      </w:r>
    </w:p>
  </w:footnote>
  <w:footnote w:type="continuationSeparator" w:id="0">
    <w:p w:rsidR="00ED68AE" w:rsidRDefault="00ED68AE" w:rsidP="0048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348B7"/>
    <w:multiLevelType w:val="hybridMultilevel"/>
    <w:tmpl w:val="C0DC2CBA"/>
    <w:lvl w:ilvl="0" w:tplc="79E842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A3EE7"/>
    <w:multiLevelType w:val="hybridMultilevel"/>
    <w:tmpl w:val="D96EC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E4337"/>
    <w:multiLevelType w:val="hybridMultilevel"/>
    <w:tmpl w:val="B06E1478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DE42056"/>
    <w:multiLevelType w:val="hybridMultilevel"/>
    <w:tmpl w:val="8EA03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216E"/>
    <w:multiLevelType w:val="hybridMultilevel"/>
    <w:tmpl w:val="76C03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C6CB0"/>
    <w:multiLevelType w:val="hybridMultilevel"/>
    <w:tmpl w:val="9A4CBD1E"/>
    <w:lvl w:ilvl="0" w:tplc="C49E9302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2462CBE"/>
    <w:multiLevelType w:val="hybridMultilevel"/>
    <w:tmpl w:val="6F546F52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5F168D6"/>
    <w:multiLevelType w:val="hybridMultilevel"/>
    <w:tmpl w:val="B53C6F4C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7262ECE"/>
    <w:multiLevelType w:val="hybridMultilevel"/>
    <w:tmpl w:val="987090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530C0"/>
    <w:multiLevelType w:val="hybridMultilevel"/>
    <w:tmpl w:val="CED07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C1344"/>
    <w:multiLevelType w:val="hybridMultilevel"/>
    <w:tmpl w:val="1CC2B03E"/>
    <w:lvl w:ilvl="0" w:tplc="D7D821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E90F72"/>
    <w:multiLevelType w:val="hybridMultilevel"/>
    <w:tmpl w:val="6F94F2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D87938"/>
    <w:multiLevelType w:val="hybridMultilevel"/>
    <w:tmpl w:val="E54C3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BDB"/>
    <w:multiLevelType w:val="hybridMultilevel"/>
    <w:tmpl w:val="08B8BF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E638B5"/>
    <w:multiLevelType w:val="hybridMultilevel"/>
    <w:tmpl w:val="D96EC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560D2"/>
    <w:multiLevelType w:val="hybridMultilevel"/>
    <w:tmpl w:val="EDBCDB32"/>
    <w:lvl w:ilvl="0" w:tplc="B54002F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34722A"/>
    <w:multiLevelType w:val="hybridMultilevel"/>
    <w:tmpl w:val="0010A85A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4523DDD"/>
    <w:multiLevelType w:val="hybridMultilevel"/>
    <w:tmpl w:val="1F0EDA36"/>
    <w:lvl w:ilvl="0" w:tplc="0A92C5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1752B"/>
    <w:multiLevelType w:val="hybridMultilevel"/>
    <w:tmpl w:val="09F2D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14568"/>
    <w:multiLevelType w:val="hybridMultilevel"/>
    <w:tmpl w:val="44E0B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5E7866"/>
    <w:multiLevelType w:val="hybridMultilevel"/>
    <w:tmpl w:val="7F5C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A0B71"/>
    <w:multiLevelType w:val="hybridMultilevel"/>
    <w:tmpl w:val="1A7ED5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E56F14"/>
    <w:multiLevelType w:val="hybridMultilevel"/>
    <w:tmpl w:val="34B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1429F"/>
    <w:multiLevelType w:val="hybridMultilevel"/>
    <w:tmpl w:val="3F1A24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24"/>
  </w:num>
  <w:num w:numId="9">
    <w:abstractNumId w:val="10"/>
  </w:num>
  <w:num w:numId="10">
    <w:abstractNumId w:val="22"/>
  </w:num>
  <w:num w:numId="11">
    <w:abstractNumId w:val="2"/>
  </w:num>
  <w:num w:numId="12">
    <w:abstractNumId w:val="15"/>
  </w:num>
  <w:num w:numId="13">
    <w:abstractNumId w:val="12"/>
  </w:num>
  <w:num w:numId="14">
    <w:abstractNumId w:val="6"/>
  </w:num>
  <w:num w:numId="15">
    <w:abstractNumId w:val="8"/>
  </w:num>
  <w:num w:numId="16">
    <w:abstractNumId w:val="3"/>
  </w:num>
  <w:num w:numId="17">
    <w:abstractNumId w:val="1"/>
  </w:num>
  <w:num w:numId="18">
    <w:abstractNumId w:val="18"/>
  </w:num>
  <w:num w:numId="19">
    <w:abstractNumId w:val="20"/>
  </w:num>
  <w:num w:numId="20">
    <w:abstractNumId w:val="4"/>
  </w:num>
  <w:num w:numId="21">
    <w:abstractNumId w:val="14"/>
  </w:num>
  <w:num w:numId="22">
    <w:abstractNumId w:val="16"/>
  </w:num>
  <w:num w:numId="23">
    <w:abstractNumId w:val="7"/>
  </w:num>
  <w:num w:numId="24">
    <w:abstractNumId w:val="19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37D"/>
    <w:rsid w:val="000013E6"/>
    <w:rsid w:val="0001356D"/>
    <w:rsid w:val="00042C07"/>
    <w:rsid w:val="00045A07"/>
    <w:rsid w:val="00057639"/>
    <w:rsid w:val="0009429E"/>
    <w:rsid w:val="000E5C1B"/>
    <w:rsid w:val="000F11CA"/>
    <w:rsid w:val="0012571E"/>
    <w:rsid w:val="001312D1"/>
    <w:rsid w:val="00154112"/>
    <w:rsid w:val="00155CD6"/>
    <w:rsid w:val="00170625"/>
    <w:rsid w:val="00176AB7"/>
    <w:rsid w:val="00194665"/>
    <w:rsid w:val="001953FF"/>
    <w:rsid w:val="001A1CCA"/>
    <w:rsid w:val="001D09A5"/>
    <w:rsid w:val="001E2553"/>
    <w:rsid w:val="001F38F9"/>
    <w:rsid w:val="0020076E"/>
    <w:rsid w:val="00204BE4"/>
    <w:rsid w:val="002208D8"/>
    <w:rsid w:val="00221B94"/>
    <w:rsid w:val="00226F90"/>
    <w:rsid w:val="00231347"/>
    <w:rsid w:val="00245FAC"/>
    <w:rsid w:val="00247F7D"/>
    <w:rsid w:val="00270D85"/>
    <w:rsid w:val="00273D3B"/>
    <w:rsid w:val="00283942"/>
    <w:rsid w:val="002C4E41"/>
    <w:rsid w:val="002F5614"/>
    <w:rsid w:val="00300102"/>
    <w:rsid w:val="00305441"/>
    <w:rsid w:val="00352560"/>
    <w:rsid w:val="00357952"/>
    <w:rsid w:val="00371FD1"/>
    <w:rsid w:val="00381E5B"/>
    <w:rsid w:val="0039517E"/>
    <w:rsid w:val="003B7553"/>
    <w:rsid w:val="003C0E18"/>
    <w:rsid w:val="003C748E"/>
    <w:rsid w:val="003F05B2"/>
    <w:rsid w:val="004050EF"/>
    <w:rsid w:val="004406F4"/>
    <w:rsid w:val="00447F34"/>
    <w:rsid w:val="00462EF4"/>
    <w:rsid w:val="004637CE"/>
    <w:rsid w:val="004810F1"/>
    <w:rsid w:val="004830EC"/>
    <w:rsid w:val="00484DEB"/>
    <w:rsid w:val="00496E9E"/>
    <w:rsid w:val="004B06BC"/>
    <w:rsid w:val="00500E8F"/>
    <w:rsid w:val="00501921"/>
    <w:rsid w:val="005057B5"/>
    <w:rsid w:val="00507AED"/>
    <w:rsid w:val="0051472F"/>
    <w:rsid w:val="00534114"/>
    <w:rsid w:val="00547595"/>
    <w:rsid w:val="00562B72"/>
    <w:rsid w:val="0056521B"/>
    <w:rsid w:val="005727B6"/>
    <w:rsid w:val="0058555E"/>
    <w:rsid w:val="00591B8B"/>
    <w:rsid w:val="005D0994"/>
    <w:rsid w:val="005D373A"/>
    <w:rsid w:val="005E5FC1"/>
    <w:rsid w:val="00620AA7"/>
    <w:rsid w:val="0063642F"/>
    <w:rsid w:val="00673AEB"/>
    <w:rsid w:val="00692212"/>
    <w:rsid w:val="0069446C"/>
    <w:rsid w:val="006C28BF"/>
    <w:rsid w:val="006F6E09"/>
    <w:rsid w:val="00733027"/>
    <w:rsid w:val="00734EFE"/>
    <w:rsid w:val="00756DC1"/>
    <w:rsid w:val="007624E5"/>
    <w:rsid w:val="007803F7"/>
    <w:rsid w:val="0078082D"/>
    <w:rsid w:val="007D01D3"/>
    <w:rsid w:val="007E198B"/>
    <w:rsid w:val="008102D6"/>
    <w:rsid w:val="008311D0"/>
    <w:rsid w:val="00864A94"/>
    <w:rsid w:val="00873C01"/>
    <w:rsid w:val="00875222"/>
    <w:rsid w:val="00896DFA"/>
    <w:rsid w:val="008B1D51"/>
    <w:rsid w:val="008B64AB"/>
    <w:rsid w:val="008C231D"/>
    <w:rsid w:val="008D120E"/>
    <w:rsid w:val="008F6F52"/>
    <w:rsid w:val="00911338"/>
    <w:rsid w:val="00912B6A"/>
    <w:rsid w:val="00915E6A"/>
    <w:rsid w:val="00955846"/>
    <w:rsid w:val="00955C33"/>
    <w:rsid w:val="00974D8F"/>
    <w:rsid w:val="009C101F"/>
    <w:rsid w:val="009D0D3F"/>
    <w:rsid w:val="009F0A36"/>
    <w:rsid w:val="00A05DD7"/>
    <w:rsid w:val="00A278C0"/>
    <w:rsid w:val="00A3537D"/>
    <w:rsid w:val="00A35827"/>
    <w:rsid w:val="00A41A1A"/>
    <w:rsid w:val="00A47151"/>
    <w:rsid w:val="00A741D7"/>
    <w:rsid w:val="00A8510F"/>
    <w:rsid w:val="00A97EAC"/>
    <w:rsid w:val="00AA477C"/>
    <w:rsid w:val="00AA7E84"/>
    <w:rsid w:val="00AD57FD"/>
    <w:rsid w:val="00AD5A49"/>
    <w:rsid w:val="00AE113A"/>
    <w:rsid w:val="00AE660B"/>
    <w:rsid w:val="00AE69B4"/>
    <w:rsid w:val="00B0678F"/>
    <w:rsid w:val="00B11145"/>
    <w:rsid w:val="00B33AF9"/>
    <w:rsid w:val="00B55D88"/>
    <w:rsid w:val="00B574B0"/>
    <w:rsid w:val="00B62235"/>
    <w:rsid w:val="00B824CF"/>
    <w:rsid w:val="00B914AF"/>
    <w:rsid w:val="00B974D4"/>
    <w:rsid w:val="00BA44EA"/>
    <w:rsid w:val="00BB2966"/>
    <w:rsid w:val="00BB467C"/>
    <w:rsid w:val="00BB6763"/>
    <w:rsid w:val="00BC4B2E"/>
    <w:rsid w:val="00BD308E"/>
    <w:rsid w:val="00BF1EF5"/>
    <w:rsid w:val="00C41902"/>
    <w:rsid w:val="00C56040"/>
    <w:rsid w:val="00C9778D"/>
    <w:rsid w:val="00CA7C99"/>
    <w:rsid w:val="00CB4895"/>
    <w:rsid w:val="00CC1B96"/>
    <w:rsid w:val="00CE4191"/>
    <w:rsid w:val="00CF2551"/>
    <w:rsid w:val="00CF2A78"/>
    <w:rsid w:val="00D00D08"/>
    <w:rsid w:val="00D172F5"/>
    <w:rsid w:val="00D209CF"/>
    <w:rsid w:val="00D21B9C"/>
    <w:rsid w:val="00D23585"/>
    <w:rsid w:val="00D30920"/>
    <w:rsid w:val="00D31968"/>
    <w:rsid w:val="00D43D53"/>
    <w:rsid w:val="00D65CD4"/>
    <w:rsid w:val="00DA1590"/>
    <w:rsid w:val="00DF1F81"/>
    <w:rsid w:val="00E029FB"/>
    <w:rsid w:val="00E26302"/>
    <w:rsid w:val="00E263B0"/>
    <w:rsid w:val="00E323E1"/>
    <w:rsid w:val="00E42E43"/>
    <w:rsid w:val="00E65A11"/>
    <w:rsid w:val="00E807BA"/>
    <w:rsid w:val="00E9147A"/>
    <w:rsid w:val="00EB2C89"/>
    <w:rsid w:val="00EB3D8D"/>
    <w:rsid w:val="00ED2FD8"/>
    <w:rsid w:val="00ED68AE"/>
    <w:rsid w:val="00ED7817"/>
    <w:rsid w:val="00EE5B21"/>
    <w:rsid w:val="00F07C24"/>
    <w:rsid w:val="00F10393"/>
    <w:rsid w:val="00F140F1"/>
    <w:rsid w:val="00F42447"/>
    <w:rsid w:val="00F73788"/>
    <w:rsid w:val="00FA53BA"/>
    <w:rsid w:val="00FB1605"/>
    <w:rsid w:val="00FE0A8F"/>
    <w:rsid w:val="00FF60B4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69446C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69446C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2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7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7B6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007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69446C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69446C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2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7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7B6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007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JURISIndex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1422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pearl.lewis</dc:creator>
  <cp:lastModifiedBy>Anonymous</cp:lastModifiedBy>
  <cp:revision>16</cp:revision>
  <cp:lastPrinted>2013-02-21T15:16:00Z</cp:lastPrinted>
  <dcterms:created xsi:type="dcterms:W3CDTF">2013-10-21T08:59:00Z</dcterms:created>
  <dcterms:modified xsi:type="dcterms:W3CDTF">2014-01-10T15:49:00Z</dcterms:modified>
</cp:coreProperties>
</file>