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4" w:rsidRDefault="009003EB" w:rsidP="00A3537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-635</wp:posOffset>
            </wp:positionV>
            <wp:extent cx="2115185" cy="445135"/>
            <wp:effectExtent l="19050" t="0" r="0" b="0"/>
            <wp:wrapSquare wrapText="bothSides"/>
            <wp:docPr id="3" name="Picture 3" descr="UB Brand Mark 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 Brand Mark 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23495</wp:posOffset>
            </wp:positionV>
            <wp:extent cx="1880235" cy="421005"/>
            <wp:effectExtent l="19050" t="0" r="5715" b="0"/>
            <wp:wrapTight wrapText="bothSides">
              <wp:wrapPolygon edited="0">
                <wp:start x="-219" y="0"/>
                <wp:lineTo x="-219" y="20525"/>
                <wp:lineTo x="21666" y="20525"/>
                <wp:lineTo x="21666" y="0"/>
                <wp:lineTo x="-219" y="0"/>
              </wp:wrapPolygon>
            </wp:wrapTight>
            <wp:docPr id="1" name="Picture 2" descr="Logo%20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em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A8F" w:rsidRDefault="00FE0A8F" w:rsidP="00A3537D">
      <w:pPr>
        <w:rPr>
          <w:rFonts w:ascii="Arial" w:hAnsi="Arial" w:cs="Arial"/>
          <w:b/>
          <w:sz w:val="32"/>
          <w:szCs w:val="32"/>
        </w:rPr>
      </w:pPr>
    </w:p>
    <w:p w:rsidR="00A3537D" w:rsidRDefault="00A8510F" w:rsidP="00A353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</w:t>
      </w:r>
      <w:r w:rsidR="00A3537D" w:rsidRPr="00A3537D">
        <w:rPr>
          <w:rFonts w:ascii="Arial" w:hAnsi="Arial" w:cs="Arial"/>
          <w:b/>
          <w:sz w:val="32"/>
          <w:szCs w:val="32"/>
        </w:rPr>
        <w:t xml:space="preserve"> SPECIFICATION </w:t>
      </w:r>
    </w:p>
    <w:p w:rsidR="00A3537D" w:rsidRPr="008102D6" w:rsidRDefault="00A3537D" w:rsidP="00A3537D">
      <w:pPr>
        <w:rPr>
          <w:rFonts w:ascii="Arial" w:hAnsi="Arial" w:cs="Arial"/>
          <w:b/>
          <w:sz w:val="16"/>
          <w:szCs w:val="16"/>
        </w:rPr>
      </w:pPr>
      <w:r w:rsidRPr="008102D6">
        <w:rPr>
          <w:rFonts w:ascii="Arial" w:hAnsi="Arial" w:cs="Arial"/>
          <w:sz w:val="16"/>
          <w:szCs w:val="16"/>
        </w:rPr>
        <w:t xml:space="preserve">FOR TAUGHT </w:t>
      </w:r>
      <w:r w:rsidR="00A8510F" w:rsidRPr="008102D6">
        <w:rPr>
          <w:rFonts w:ascii="Arial" w:hAnsi="Arial" w:cs="Arial"/>
          <w:sz w:val="16"/>
          <w:szCs w:val="16"/>
        </w:rPr>
        <w:t>MODULES</w:t>
      </w:r>
      <w:r w:rsidR="00FF60B4" w:rsidRPr="008102D6">
        <w:rPr>
          <w:rFonts w:ascii="Arial" w:hAnsi="Arial" w:cs="Arial"/>
          <w:sz w:val="16"/>
          <w:szCs w:val="16"/>
        </w:rPr>
        <w:t xml:space="preserve"> AT ALL LEVELS</w:t>
      </w:r>
    </w:p>
    <w:tbl>
      <w:tblPr>
        <w:tblpPr w:leftFromText="180" w:rightFromText="180" w:vertAnchor="page" w:horzAnchor="margin" w:tblpY="2401"/>
        <w:tblW w:w="10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9"/>
        <w:gridCol w:w="1141"/>
        <w:gridCol w:w="694"/>
        <w:gridCol w:w="732"/>
        <w:gridCol w:w="837"/>
        <w:gridCol w:w="289"/>
        <w:gridCol w:w="15"/>
        <w:gridCol w:w="1425"/>
        <w:gridCol w:w="125"/>
        <w:gridCol w:w="289"/>
        <w:gridCol w:w="1012"/>
        <w:gridCol w:w="411"/>
        <w:gridCol w:w="140"/>
        <w:gridCol w:w="19"/>
        <w:gridCol w:w="998"/>
        <w:gridCol w:w="1141"/>
      </w:tblGrid>
      <w:tr w:rsidR="00896DFA" w:rsidRPr="00E807BA" w:rsidTr="0074139A">
        <w:trPr>
          <w:cantSplit/>
          <w:trHeight w:val="151"/>
        </w:trPr>
        <w:tc>
          <w:tcPr>
            <w:tcW w:w="2390" w:type="dxa"/>
            <w:gridSpan w:val="2"/>
            <w:shd w:val="clear" w:color="auto" w:fill="auto"/>
          </w:tcPr>
          <w:p w:rsidR="00896DFA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Name of Module</w:t>
            </w:r>
          </w:p>
        </w:tc>
        <w:tc>
          <w:tcPr>
            <w:tcW w:w="8127" w:type="dxa"/>
            <w:gridSpan w:val="14"/>
            <w:shd w:val="clear" w:color="auto" w:fill="auto"/>
          </w:tcPr>
          <w:p w:rsidR="00D172F5" w:rsidRPr="00F27FCA" w:rsidRDefault="002F79A0" w:rsidP="005C13B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F27FCA">
              <w:rPr>
                <w:rFonts w:ascii="Arial" w:hAnsi="Arial" w:cs="Arial"/>
                <w:sz w:val="20"/>
              </w:rPr>
              <w:t>International Business L</w:t>
            </w:r>
            <w:r w:rsidR="005C13B7" w:rsidRPr="00F27FCA">
              <w:rPr>
                <w:rFonts w:ascii="Arial" w:hAnsi="Arial" w:cs="Arial"/>
                <w:sz w:val="20"/>
              </w:rPr>
              <w:t>aw</w:t>
            </w:r>
          </w:p>
        </w:tc>
      </w:tr>
      <w:tr w:rsidR="005057B5" w:rsidRPr="00E807BA" w:rsidTr="0074139A">
        <w:trPr>
          <w:cantSplit/>
          <w:trHeight w:val="151"/>
        </w:trPr>
        <w:tc>
          <w:tcPr>
            <w:tcW w:w="2390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Parent School/Dept</w:t>
            </w:r>
          </w:p>
        </w:tc>
        <w:tc>
          <w:tcPr>
            <w:tcW w:w="8127" w:type="dxa"/>
            <w:gridSpan w:val="14"/>
            <w:shd w:val="clear" w:color="auto" w:fill="auto"/>
          </w:tcPr>
          <w:p w:rsidR="00D172F5" w:rsidRPr="0074139A" w:rsidRDefault="005C13B7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</w:rPr>
              <w:t>International Relations and Political Science</w:t>
            </w:r>
          </w:p>
        </w:tc>
      </w:tr>
      <w:tr w:rsidR="005057B5" w:rsidRPr="00E807BA" w:rsidTr="0074139A">
        <w:trPr>
          <w:cantSplit/>
          <w:trHeight w:val="151"/>
        </w:trPr>
        <w:tc>
          <w:tcPr>
            <w:tcW w:w="2390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Programmes where module is offered</w:t>
            </w:r>
          </w:p>
        </w:tc>
        <w:tc>
          <w:tcPr>
            <w:tcW w:w="8127" w:type="dxa"/>
            <w:gridSpan w:val="14"/>
            <w:shd w:val="clear" w:color="auto" w:fill="auto"/>
          </w:tcPr>
          <w:p w:rsidR="005057B5" w:rsidRPr="0074139A" w:rsidRDefault="00F27FCA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LLM International Law</w:t>
            </w:r>
          </w:p>
        </w:tc>
      </w:tr>
      <w:tr w:rsidR="005057B5" w:rsidRPr="00E807BA" w:rsidTr="0074139A">
        <w:trPr>
          <w:cantSplit/>
          <w:trHeight w:val="151"/>
        </w:trPr>
        <w:tc>
          <w:tcPr>
            <w:tcW w:w="2390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Pr="008102D6">
              <w:rPr>
                <w:rFonts w:ascii="Arial" w:hAnsi="Arial" w:cs="Arial"/>
                <w:sz w:val="20"/>
                <w:szCs w:val="20"/>
              </w:rPr>
              <w:t>(compulsory, optional, free choice)</w:t>
            </w:r>
          </w:p>
        </w:tc>
        <w:tc>
          <w:tcPr>
            <w:tcW w:w="2567" w:type="dxa"/>
            <w:gridSpan w:val="5"/>
            <w:shd w:val="clear" w:color="auto" w:fill="auto"/>
          </w:tcPr>
          <w:p w:rsidR="005057B5" w:rsidRPr="004A2290" w:rsidRDefault="00023196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</w:p>
        </w:tc>
        <w:tc>
          <w:tcPr>
            <w:tcW w:w="2851" w:type="dxa"/>
            <w:gridSpan w:val="4"/>
            <w:shd w:val="clear" w:color="auto" w:fill="auto"/>
          </w:tcPr>
          <w:p w:rsidR="005057B5" w:rsidRPr="004A2290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>Pre-Requisite Modules or Qualifications</w:t>
            </w:r>
          </w:p>
        </w:tc>
        <w:tc>
          <w:tcPr>
            <w:tcW w:w="2709" w:type="dxa"/>
            <w:gridSpan w:val="5"/>
            <w:shd w:val="clear" w:color="auto" w:fill="auto"/>
          </w:tcPr>
          <w:p w:rsidR="005057B5" w:rsidRPr="004A2290" w:rsidRDefault="00DD60F0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Recommended: </w:t>
            </w:r>
            <w:r w:rsidR="00FC2CB2" w:rsidRPr="004A2290">
              <w:rPr>
                <w:rFonts w:ascii="Arial" w:hAnsi="Arial" w:cs="Arial"/>
                <w:b/>
                <w:sz w:val="20"/>
                <w:szCs w:val="20"/>
              </w:rPr>
              <w:t>Public International Law</w:t>
            </w:r>
          </w:p>
        </w:tc>
      </w:tr>
      <w:tr w:rsidR="00AF5316" w:rsidRPr="00E807BA" w:rsidTr="00AF5316">
        <w:trPr>
          <w:cantSplit/>
          <w:trHeight w:val="151"/>
        </w:trPr>
        <w:tc>
          <w:tcPr>
            <w:tcW w:w="1249" w:type="dxa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FHEQ Level</w:t>
            </w:r>
          </w:p>
        </w:tc>
        <w:tc>
          <w:tcPr>
            <w:tcW w:w="1141" w:type="dxa"/>
            <w:shd w:val="clear" w:color="auto" w:fill="auto"/>
          </w:tcPr>
          <w:p w:rsidR="005057B5" w:rsidRPr="008102D6" w:rsidRDefault="005C13B7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5057B5" w:rsidRPr="004A2290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>Unit Value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5057B5" w:rsidRPr="004A2290" w:rsidRDefault="005C13B7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>8 ECTS</w:t>
            </w:r>
          </w:p>
        </w:tc>
        <w:tc>
          <w:tcPr>
            <w:tcW w:w="1425" w:type="dxa"/>
            <w:shd w:val="clear" w:color="auto" w:fill="auto"/>
          </w:tcPr>
          <w:p w:rsidR="005057B5" w:rsidRPr="004A2290" w:rsidRDefault="005057B5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 xml:space="preserve">Module Code </w:t>
            </w:r>
            <w:r w:rsidRPr="004A2290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1426" w:type="dxa"/>
            <w:gridSpan w:val="3"/>
            <w:shd w:val="clear" w:color="auto" w:fill="auto"/>
          </w:tcPr>
          <w:p w:rsidR="005057B5" w:rsidRPr="004A2290" w:rsidRDefault="005C13B7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sz w:val="20"/>
              </w:rPr>
              <w:t>IL 506</w:t>
            </w:r>
          </w:p>
        </w:tc>
        <w:tc>
          <w:tcPr>
            <w:tcW w:w="1568" w:type="dxa"/>
            <w:gridSpan w:val="4"/>
            <w:shd w:val="clear" w:color="auto" w:fill="auto"/>
          </w:tcPr>
          <w:p w:rsidR="005057B5" w:rsidRPr="004A2290" w:rsidRDefault="005057B5" w:rsidP="005D3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 xml:space="preserve">Module </w:t>
            </w:r>
            <w:r w:rsidR="005D373A" w:rsidRPr="004A2290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141" w:type="dxa"/>
            <w:shd w:val="clear" w:color="auto" w:fill="auto"/>
          </w:tcPr>
          <w:p w:rsidR="005057B5" w:rsidRPr="004A2290" w:rsidRDefault="005C13B7" w:rsidP="005C13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2290">
              <w:rPr>
                <w:rFonts w:ascii="Arial" w:hAnsi="Arial" w:cs="Arial"/>
                <w:b/>
                <w:bCs/>
                <w:sz w:val="20"/>
              </w:rPr>
              <w:t>Miloš</w:t>
            </w:r>
            <w:proofErr w:type="spellEnd"/>
            <w:r w:rsidRPr="004A229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4A2290">
              <w:rPr>
                <w:rFonts w:ascii="Arial" w:hAnsi="Arial" w:cs="Arial"/>
                <w:b/>
                <w:bCs/>
                <w:sz w:val="20"/>
              </w:rPr>
              <w:t>Trifković</w:t>
            </w:r>
            <w:proofErr w:type="spellEnd"/>
          </w:p>
        </w:tc>
      </w:tr>
      <w:tr w:rsidR="00896DFA" w:rsidRPr="00E807BA" w:rsidTr="0074139A">
        <w:trPr>
          <w:cantSplit/>
          <w:trHeight w:val="151"/>
        </w:trPr>
        <w:tc>
          <w:tcPr>
            <w:tcW w:w="2390" w:type="dxa"/>
            <w:gridSpan w:val="2"/>
            <w:shd w:val="clear" w:color="auto" w:fill="auto"/>
          </w:tcPr>
          <w:p w:rsidR="00896DFA" w:rsidRPr="008102D6" w:rsidRDefault="00B824CF" w:rsidP="00B824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896DFA" w:rsidRPr="008102D6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  <w:tc>
          <w:tcPr>
            <w:tcW w:w="2567" w:type="dxa"/>
            <w:gridSpan w:val="5"/>
            <w:shd w:val="clear" w:color="auto" w:fill="auto"/>
          </w:tcPr>
          <w:p w:rsidR="00896DFA" w:rsidRPr="004A2290" w:rsidRDefault="00C414E8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2851" w:type="dxa"/>
            <w:gridSpan w:val="4"/>
            <w:shd w:val="clear" w:color="auto" w:fill="auto"/>
          </w:tcPr>
          <w:p w:rsidR="00896DFA" w:rsidRPr="004A2290" w:rsidRDefault="0056521B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290">
              <w:rPr>
                <w:rFonts w:ascii="Arial" w:hAnsi="Arial" w:cs="Arial"/>
                <w:b/>
                <w:sz w:val="20"/>
                <w:szCs w:val="20"/>
              </w:rPr>
              <w:t>Applicable From</w:t>
            </w:r>
          </w:p>
        </w:tc>
        <w:tc>
          <w:tcPr>
            <w:tcW w:w="2709" w:type="dxa"/>
            <w:gridSpan w:val="5"/>
            <w:shd w:val="clear" w:color="auto" w:fill="auto"/>
          </w:tcPr>
          <w:p w:rsidR="00896DFA" w:rsidRPr="004A2290" w:rsidRDefault="00B824CF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4A2290">
              <w:rPr>
                <w:rFonts w:ascii="Arial" w:hAnsi="Arial" w:cs="Arial"/>
                <w:sz w:val="20"/>
                <w:szCs w:val="20"/>
              </w:rPr>
              <w:t>SEMESTER</w:t>
            </w:r>
            <w:r w:rsidR="00A47151" w:rsidRPr="004A2290">
              <w:rPr>
                <w:rFonts w:ascii="Arial" w:hAnsi="Arial" w:cs="Arial"/>
                <w:sz w:val="20"/>
                <w:szCs w:val="20"/>
              </w:rPr>
              <w:t>/YEAR</w:t>
            </w:r>
            <w:r w:rsidR="005C13B7" w:rsidRPr="004A2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860">
              <w:rPr>
                <w:rFonts w:ascii="Arial" w:hAnsi="Arial" w:cs="Arial"/>
                <w:sz w:val="20"/>
                <w:szCs w:val="20"/>
              </w:rPr>
              <w:t>3</w:t>
            </w:r>
            <w:r w:rsidR="00795860" w:rsidRPr="0079586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 semester, 2</w:t>
            </w:r>
            <w:r w:rsidR="00795860" w:rsidRPr="0079586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023196" w:rsidRPr="004A2290"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A278C0" w:rsidRPr="00E807BA" w:rsidTr="0074139A">
        <w:trPr>
          <w:cantSplit/>
          <w:trHeight w:val="151"/>
        </w:trPr>
        <w:tc>
          <w:tcPr>
            <w:tcW w:w="10517" w:type="dxa"/>
            <w:gridSpan w:val="1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74139A">
        <w:trPr>
          <w:cantSplit/>
          <w:trHeight w:val="151"/>
        </w:trPr>
        <w:tc>
          <w:tcPr>
            <w:tcW w:w="1051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53" w:rsidRPr="008102D6" w:rsidRDefault="003B7553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Educational Aims of the Module</w:t>
            </w:r>
          </w:p>
        </w:tc>
      </w:tr>
      <w:tr w:rsidR="003B7553" w:rsidRPr="00E807BA" w:rsidTr="0074139A">
        <w:trPr>
          <w:cantSplit/>
          <w:trHeight w:val="1283"/>
        </w:trPr>
        <w:tc>
          <w:tcPr>
            <w:tcW w:w="1051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3B7" w:rsidRDefault="005C13B7" w:rsidP="005C13B7">
            <w:pPr>
              <w:pStyle w:val="Heading1"/>
              <w:jc w:val="both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This module</w:t>
            </w:r>
            <w:r w:rsidRPr="005C13B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aims </w:t>
            </w:r>
            <w:r w:rsidRPr="005C13B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to 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instill</w:t>
            </w:r>
            <w:r w:rsidR="00FC2C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in</w:t>
            </w:r>
            <w:r w:rsidR="00AF531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depth and critical </w:t>
            </w:r>
            <w:r w:rsidRPr="005C13B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knowledge of the 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core</w:t>
            </w:r>
            <w:r w:rsidR="00FC2CB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5C13B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principles, sources, institutions, contracts and other relations in the area of international business law.  After com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</w:t>
            </w:r>
            <w:r w:rsidRPr="005C13B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leting this </w:t>
            </w:r>
            <w:r w:rsidR="00AF531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module</w:t>
            </w:r>
            <w:r w:rsidRPr="005C13B7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 students will have acquired a deeper insight into the structure and rules of international business</w:t>
            </w:r>
            <w:r w:rsidR="00AF531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and have gained a critical appreciation of the</w:t>
            </w:r>
            <w:r w:rsidR="0002319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legal topics relevant for international trade between individual trading parties</w:t>
            </w:r>
            <w:r w:rsidR="00AF531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,</w:t>
            </w:r>
            <w:r w:rsidR="0002319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AF531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as well as the </w:t>
            </w:r>
            <w:r w:rsidR="0002319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mechanisms for dispute resolution between traders on an international level.</w:t>
            </w:r>
          </w:p>
          <w:p w:rsidR="005C13B7" w:rsidRPr="005C13B7" w:rsidRDefault="005C13B7" w:rsidP="005C13B7">
            <w:pPr>
              <w:rPr>
                <w:lang w:val="hr-HR"/>
              </w:rPr>
            </w:pPr>
          </w:p>
          <w:p w:rsidR="00AE69B4" w:rsidRPr="002366E1" w:rsidRDefault="005C13B7" w:rsidP="004125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 xml:space="preserve">This </w:t>
            </w:r>
            <w:r w:rsidR="00AF5316">
              <w:rPr>
                <w:rFonts w:ascii="Arial" w:hAnsi="Arial" w:cs="Arial"/>
                <w:sz w:val="20"/>
                <w:szCs w:val="20"/>
                <w:lang w:val="hr-HR"/>
              </w:rPr>
              <w:t>module</w:t>
            </w:r>
            <w:r w:rsidR="00AF5316" w:rsidRPr="005C13B7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>is designed for a postgraduate programme and is recommended for students</w:t>
            </w:r>
            <w:r w:rsidR="00AF531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>who already have a basic knowledge of Business law and Public international law</w:t>
            </w:r>
            <w:r w:rsidR="00AF531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 xml:space="preserve"> and who are interested in acquiring additional </w:t>
            </w:r>
            <w:r w:rsidR="00023196">
              <w:rPr>
                <w:rFonts w:ascii="Arial" w:hAnsi="Arial" w:cs="Arial"/>
                <w:sz w:val="20"/>
                <w:szCs w:val="20"/>
                <w:lang w:val="hr-HR"/>
              </w:rPr>
              <w:t>sp</w:t>
            </w:r>
            <w:r w:rsidR="00AF5316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023196">
              <w:rPr>
                <w:rFonts w:ascii="Arial" w:hAnsi="Arial" w:cs="Arial"/>
                <w:sz w:val="20"/>
                <w:szCs w:val="20"/>
                <w:lang w:val="hr-HR"/>
              </w:rPr>
              <w:t>ciali</w:t>
            </w:r>
            <w:r w:rsidR="00AF5316">
              <w:rPr>
                <w:rFonts w:ascii="Arial" w:hAnsi="Arial" w:cs="Arial"/>
                <w:sz w:val="20"/>
                <w:szCs w:val="20"/>
                <w:lang w:val="hr-HR"/>
              </w:rPr>
              <w:t>s</w:t>
            </w:r>
            <w:r w:rsidR="00023196">
              <w:rPr>
                <w:rFonts w:ascii="Arial" w:hAnsi="Arial" w:cs="Arial"/>
                <w:sz w:val="20"/>
                <w:szCs w:val="20"/>
                <w:lang w:val="hr-HR"/>
              </w:rPr>
              <w:t xml:space="preserve">ed 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>theoretical knowledge</w:t>
            </w:r>
            <w:r w:rsidR="00AF531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 xml:space="preserve"> and </w:t>
            </w:r>
            <w:r w:rsidR="00023196">
              <w:rPr>
                <w:rFonts w:ascii="Arial" w:hAnsi="Arial" w:cs="Arial"/>
                <w:sz w:val="20"/>
                <w:szCs w:val="20"/>
                <w:lang w:val="hr-HR"/>
              </w:rPr>
              <w:t xml:space="preserve">advanced 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 xml:space="preserve">practical skills in the area of international business law and legal aspects of international </w:t>
            </w:r>
            <w:r w:rsidR="004A2290">
              <w:rPr>
                <w:rFonts w:ascii="Arial" w:hAnsi="Arial" w:cs="Arial"/>
                <w:sz w:val="20"/>
                <w:szCs w:val="20"/>
                <w:lang w:val="hr-HR"/>
              </w:rPr>
              <w:t>trade</w:t>
            </w:r>
            <w:r w:rsidRPr="005C13B7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  <w:tr w:rsidR="003B7553" w:rsidRPr="00E807BA" w:rsidTr="0074139A">
        <w:trPr>
          <w:cantSplit/>
          <w:trHeight w:val="268"/>
        </w:trPr>
        <w:tc>
          <w:tcPr>
            <w:tcW w:w="1051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3B7553" w:rsidRPr="008102D6" w:rsidRDefault="003B7553" w:rsidP="005057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96DFA" w:rsidRPr="00E807BA" w:rsidTr="0074139A">
        <w:trPr>
          <w:cantSplit/>
          <w:trHeight w:val="151"/>
        </w:trPr>
        <w:tc>
          <w:tcPr>
            <w:tcW w:w="10517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96DFA" w:rsidRPr="008102D6" w:rsidRDefault="00896DFA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Module Outline/Syllabus</w:t>
            </w:r>
          </w:p>
        </w:tc>
      </w:tr>
      <w:tr w:rsidR="00896DFA" w:rsidRPr="00E807BA" w:rsidTr="000E5647">
        <w:trPr>
          <w:cantSplit/>
          <w:trHeight w:val="2626"/>
        </w:trPr>
        <w:tc>
          <w:tcPr>
            <w:tcW w:w="10517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730F" w:rsidRDefault="0085730F" w:rsidP="0085730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21813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 xml:space="preserve">Introduction to international business </w:t>
            </w:r>
          </w:p>
          <w:p w:rsidR="00021813" w:rsidRPr="0085730F" w:rsidRDefault="00021813" w:rsidP="0085730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Subjects of International Business Law</w:t>
            </w:r>
            <w:r w:rsidR="00AF5316" w:rsidRPr="0074139A">
              <w:rPr>
                <w:rFonts w:ascii="Arial" w:hAnsi="Arial" w:cs="Arial"/>
                <w:sz w:val="20"/>
                <w:szCs w:val="20"/>
              </w:rPr>
              <w:t>:</w:t>
            </w:r>
            <w:r w:rsidRPr="0074139A">
              <w:rPr>
                <w:rFonts w:ascii="Arial" w:hAnsi="Arial" w:cs="Arial"/>
                <w:sz w:val="20"/>
                <w:szCs w:val="20"/>
              </w:rPr>
              <w:t xml:space="preserve"> state as a trader, multinational companies</w:t>
            </w:r>
            <w:r w:rsidR="0085730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85730F">
              <w:rPr>
                <w:rFonts w:ascii="Arial" w:hAnsi="Arial" w:cs="Arial"/>
                <w:sz w:val="20"/>
                <w:szCs w:val="20"/>
              </w:rPr>
              <w:t>Internationalisation of corporate governance</w:t>
            </w:r>
          </w:p>
          <w:p w:rsidR="00021813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International competition law and corruption in international business</w:t>
            </w:r>
          </w:p>
          <w:p w:rsidR="00021813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Direct foreign investments</w:t>
            </w:r>
          </w:p>
          <w:p w:rsidR="00021813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 xml:space="preserve">Sales contracts and excuses for non-performance  </w:t>
            </w:r>
          </w:p>
          <w:p w:rsidR="00965485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Agency in international business</w:t>
            </w:r>
          </w:p>
          <w:p w:rsidR="00965485" w:rsidRPr="0074139A" w:rsidRDefault="00AF5316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Bank collections:</w:t>
            </w:r>
            <w:r w:rsidR="00021813" w:rsidRPr="0074139A">
              <w:rPr>
                <w:rFonts w:ascii="Arial" w:hAnsi="Arial" w:cs="Arial"/>
                <w:sz w:val="20"/>
                <w:szCs w:val="20"/>
              </w:rPr>
              <w:t xml:space="preserve"> letters of credit, bank guarantees, factoring</w:t>
            </w:r>
          </w:p>
          <w:p w:rsidR="00965485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The carriage of goods and liability of sea and air carriers</w:t>
            </w:r>
          </w:p>
          <w:p w:rsidR="00021813" w:rsidRPr="0074139A" w:rsidRDefault="00021813" w:rsidP="0074139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 xml:space="preserve">Resolution of disputes in international business law </w:t>
            </w:r>
          </w:p>
        </w:tc>
      </w:tr>
      <w:tr w:rsidR="00896DFA" w:rsidRPr="00E807BA" w:rsidTr="0074139A">
        <w:trPr>
          <w:cantSplit/>
          <w:trHeight w:val="151"/>
        </w:trPr>
        <w:tc>
          <w:tcPr>
            <w:tcW w:w="1051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74139A" w:rsidRPr="008102D6" w:rsidRDefault="0074139A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74139A">
        <w:trPr>
          <w:cantSplit/>
          <w:trHeight w:val="151"/>
        </w:trPr>
        <w:tc>
          <w:tcPr>
            <w:tcW w:w="10517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09429E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Engagement Hours</w:t>
            </w:r>
          </w:p>
        </w:tc>
      </w:tr>
      <w:tr w:rsidR="00A278C0" w:rsidRPr="00E807BA" w:rsidTr="0074139A">
        <w:trPr>
          <w:cantSplit/>
          <w:trHeight w:val="486"/>
        </w:trPr>
        <w:tc>
          <w:tcPr>
            <w:tcW w:w="465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09429E" w:rsidP="00386671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8102D6">
              <w:rPr>
                <w:i/>
                <w:sz w:val="20"/>
                <w:szCs w:val="20"/>
              </w:rPr>
              <w:t>Type</w:t>
            </w:r>
            <w:r w:rsidR="003B7553" w:rsidRPr="008102D6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3866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Number per term </w:t>
            </w:r>
          </w:p>
        </w:tc>
        <w:tc>
          <w:tcPr>
            <w:tcW w:w="1852" w:type="dxa"/>
            <w:gridSpan w:val="4"/>
            <w:shd w:val="clear" w:color="auto" w:fill="auto"/>
          </w:tcPr>
          <w:p w:rsidR="00A278C0" w:rsidRPr="008102D6" w:rsidRDefault="00A278C0" w:rsidP="003866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Duration of each </w:t>
            </w:r>
          </w:p>
        </w:tc>
        <w:tc>
          <w:tcPr>
            <w:tcW w:w="2158" w:type="dxa"/>
            <w:gridSpan w:val="3"/>
            <w:shd w:val="clear" w:color="auto" w:fill="auto"/>
          </w:tcPr>
          <w:p w:rsidR="00A278C0" w:rsidRPr="008102D6" w:rsidRDefault="0009429E" w:rsidP="00BC4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="00A278C0"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Time</w:t>
            </w:r>
          </w:p>
        </w:tc>
      </w:tr>
      <w:tr w:rsidR="00A278C0" w:rsidRPr="00E807BA" w:rsidTr="0074139A">
        <w:trPr>
          <w:cantSplit/>
          <w:trHeight w:val="250"/>
        </w:trPr>
        <w:tc>
          <w:tcPr>
            <w:tcW w:w="4653" w:type="dxa"/>
            <w:gridSpan w:val="5"/>
            <w:shd w:val="clear" w:color="auto" w:fill="auto"/>
          </w:tcPr>
          <w:p w:rsidR="00A278C0" w:rsidRPr="008102D6" w:rsidRDefault="00470AFB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Lectures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A278C0" w:rsidRPr="008102D6" w:rsidRDefault="0002319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51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52" w:type="dxa"/>
            <w:gridSpan w:val="4"/>
            <w:shd w:val="clear" w:color="auto" w:fill="auto"/>
          </w:tcPr>
          <w:p w:rsidR="00A278C0" w:rsidRPr="008102D6" w:rsidRDefault="000251A4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70AFB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58" w:type="dxa"/>
            <w:gridSpan w:val="3"/>
            <w:shd w:val="clear" w:color="auto" w:fill="auto"/>
          </w:tcPr>
          <w:p w:rsidR="00A278C0" w:rsidRPr="008102D6" w:rsidRDefault="0002319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278C0" w:rsidRPr="00E807BA" w:rsidTr="0074139A">
        <w:trPr>
          <w:cantSplit/>
          <w:trHeight w:val="250"/>
        </w:trPr>
        <w:tc>
          <w:tcPr>
            <w:tcW w:w="4653" w:type="dxa"/>
            <w:gridSpan w:val="5"/>
            <w:shd w:val="clear" w:color="auto" w:fill="auto"/>
          </w:tcPr>
          <w:p w:rsidR="00A278C0" w:rsidRPr="008102D6" w:rsidRDefault="00F53DB6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Seminars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A278C0" w:rsidRPr="008102D6" w:rsidRDefault="0002319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52" w:type="dxa"/>
            <w:gridSpan w:val="4"/>
            <w:shd w:val="clear" w:color="auto" w:fill="auto"/>
          </w:tcPr>
          <w:p w:rsidR="00A278C0" w:rsidRPr="008102D6" w:rsidRDefault="000251A4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0AFB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58" w:type="dxa"/>
            <w:gridSpan w:val="3"/>
            <w:shd w:val="clear" w:color="auto" w:fill="auto"/>
          </w:tcPr>
          <w:p w:rsidR="00A278C0" w:rsidRPr="008102D6" w:rsidRDefault="0002319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278C0" w:rsidRPr="00E807BA" w:rsidTr="0074139A">
        <w:trPr>
          <w:cantSplit/>
          <w:trHeight w:val="236"/>
        </w:trPr>
        <w:tc>
          <w:tcPr>
            <w:tcW w:w="465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9E" w:rsidRPr="00E807BA" w:rsidTr="0074139A">
        <w:trPr>
          <w:cantSplit/>
          <w:trHeight w:val="236"/>
        </w:trPr>
        <w:tc>
          <w:tcPr>
            <w:tcW w:w="8378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>Total Guided/Independent Learning Hours</w:t>
            </w:r>
          </w:p>
        </w:tc>
        <w:tc>
          <w:tcPr>
            <w:tcW w:w="21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23196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</w:tr>
      <w:tr w:rsidR="00BC4B2E" w:rsidRPr="00E807BA" w:rsidTr="0074139A">
        <w:trPr>
          <w:cantSplit/>
          <w:trHeight w:val="236"/>
        </w:trPr>
        <w:tc>
          <w:tcPr>
            <w:tcW w:w="8378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BC4B2E" w:rsidP="0009429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Total Contact </w:t>
            </w:r>
            <w:r w:rsidR="0009429E" w:rsidRPr="008102D6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:         </w:t>
            </w:r>
          </w:p>
        </w:tc>
        <w:tc>
          <w:tcPr>
            <w:tcW w:w="21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023196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</w:tr>
      <w:tr w:rsidR="0009429E" w:rsidRPr="00E807BA" w:rsidTr="0074139A">
        <w:trPr>
          <w:cantSplit/>
          <w:trHeight w:val="250"/>
        </w:trPr>
        <w:tc>
          <w:tcPr>
            <w:tcW w:w="8378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Total Engagement Hours</w:t>
            </w:r>
          </w:p>
        </w:tc>
        <w:tc>
          <w:tcPr>
            <w:tcW w:w="21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23196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A278C0" w:rsidRPr="00E807BA" w:rsidTr="00C414E8">
        <w:trPr>
          <w:cantSplit/>
          <w:trHeight w:val="411"/>
        </w:trPr>
        <w:tc>
          <w:tcPr>
            <w:tcW w:w="1051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C414E8" w:rsidRDefault="00C414E8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647" w:rsidRDefault="000E5647" w:rsidP="00C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1A4" w:rsidRPr="00C414E8" w:rsidRDefault="000251A4" w:rsidP="00C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915E6A" w:rsidTr="0074139A">
        <w:trPr>
          <w:cantSplit/>
          <w:trHeight w:val="250"/>
        </w:trPr>
        <w:tc>
          <w:tcPr>
            <w:tcW w:w="10517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3B7553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Assessment Method Summary</w:t>
            </w:r>
          </w:p>
        </w:tc>
      </w:tr>
      <w:tr w:rsidR="00A278C0" w:rsidRPr="00915E6A" w:rsidTr="00761B7E">
        <w:trPr>
          <w:cantSplit/>
          <w:trHeight w:val="570"/>
        </w:trPr>
        <w:tc>
          <w:tcPr>
            <w:tcW w:w="308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3B7553" w:rsidP="00761B7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Type 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Number required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A278C0" w:rsidRPr="008102D6" w:rsidRDefault="00A278C0" w:rsidP="00761B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Duration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A278C0" w:rsidRPr="008102D6" w:rsidRDefault="00A278C0" w:rsidP="00761B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Weighting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8" w:type="dxa"/>
            <w:gridSpan w:val="4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Timing/</w:t>
            </w:r>
          </w:p>
          <w:p w:rsidR="00A278C0" w:rsidRPr="008102D6" w:rsidRDefault="00A278C0" w:rsidP="00761B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Submission Deadline</w:t>
            </w:r>
          </w:p>
        </w:tc>
      </w:tr>
      <w:tr w:rsidR="000251A4" w:rsidRPr="00E807BA" w:rsidTr="0074139A">
        <w:trPr>
          <w:cantSplit/>
          <w:trHeight w:val="470"/>
        </w:trPr>
        <w:tc>
          <w:tcPr>
            <w:tcW w:w="3084" w:type="dxa"/>
            <w:gridSpan w:val="3"/>
            <w:shd w:val="clear" w:color="auto" w:fill="auto"/>
          </w:tcPr>
          <w:p w:rsidR="000251A4" w:rsidRPr="006F0A55" w:rsidRDefault="000251A4" w:rsidP="000251A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6F0A55">
              <w:rPr>
                <w:b w:val="0"/>
                <w:sz w:val="20"/>
                <w:szCs w:val="20"/>
              </w:rPr>
              <w:t>Mid-semester test (conceptual questions)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0251A4" w:rsidRPr="00593547" w:rsidRDefault="0083193F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51A4" w:rsidRPr="00593547">
              <w:rPr>
                <w:rFonts w:ascii="Arial" w:hAnsi="Arial" w:cs="Arial"/>
                <w:sz w:val="20"/>
                <w:szCs w:val="20"/>
              </w:rPr>
              <w:t xml:space="preserve"> hour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354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98" w:type="dxa"/>
            <w:gridSpan w:val="4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Mid semester</w:t>
            </w:r>
          </w:p>
        </w:tc>
      </w:tr>
      <w:tr w:rsidR="000251A4" w:rsidRPr="00E807BA" w:rsidTr="0074139A">
        <w:trPr>
          <w:cantSplit/>
          <w:trHeight w:val="486"/>
        </w:trPr>
        <w:tc>
          <w:tcPr>
            <w:tcW w:w="3084" w:type="dxa"/>
            <w:gridSpan w:val="3"/>
            <w:shd w:val="clear" w:color="auto" w:fill="auto"/>
          </w:tcPr>
          <w:p w:rsidR="000251A4" w:rsidRPr="006F0A55" w:rsidRDefault="000251A4" w:rsidP="000251A4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b w:val="0"/>
                <w:sz w:val="20"/>
                <w:szCs w:val="20"/>
              </w:rPr>
            </w:pPr>
            <w:r w:rsidRPr="006F0A55">
              <w:rPr>
                <w:b w:val="0"/>
                <w:sz w:val="20"/>
                <w:szCs w:val="20"/>
              </w:rPr>
              <w:t xml:space="preserve">Set assignment </w:t>
            </w:r>
          </w:p>
          <w:p w:rsidR="000251A4" w:rsidRPr="006F0A55" w:rsidRDefault="000251A4" w:rsidP="006F0A55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b w:val="0"/>
                <w:sz w:val="20"/>
                <w:szCs w:val="20"/>
              </w:rPr>
            </w:pPr>
            <w:r w:rsidRPr="006F0A55">
              <w:rPr>
                <w:b w:val="0"/>
                <w:sz w:val="20"/>
                <w:szCs w:val="20"/>
              </w:rPr>
              <w:t>(</w:t>
            </w:r>
            <w:r w:rsidR="006F0A55" w:rsidRPr="006F0A55">
              <w:rPr>
                <w:b w:val="0"/>
                <w:sz w:val="20"/>
                <w:szCs w:val="20"/>
              </w:rPr>
              <w:t>Case</w:t>
            </w:r>
            <w:r w:rsidRPr="006F0A55">
              <w:rPr>
                <w:b w:val="0"/>
                <w:sz w:val="20"/>
                <w:szCs w:val="20"/>
              </w:rPr>
              <w:t xml:space="preserve"> study)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0251A4" w:rsidRPr="00593547" w:rsidRDefault="0083193F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 w:rsidR="000251A4" w:rsidRPr="00593547">
              <w:rPr>
                <w:rFonts w:ascii="Arial" w:hAnsi="Arial" w:cs="Arial"/>
                <w:sz w:val="20"/>
                <w:szCs w:val="20"/>
              </w:rPr>
              <w:t xml:space="preserve"> words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251A4" w:rsidRPr="00593547" w:rsidRDefault="0083193F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51A4" w:rsidRPr="0059354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4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93547">
              <w:rPr>
                <w:rFonts w:ascii="Arial" w:hAnsi="Arial" w:cs="Arial"/>
                <w:sz w:val="20"/>
                <w:szCs w:val="20"/>
              </w:rPr>
              <w:t>eek 11</w:t>
            </w:r>
          </w:p>
        </w:tc>
      </w:tr>
      <w:tr w:rsidR="000251A4" w:rsidRPr="00E807BA" w:rsidTr="0074139A">
        <w:trPr>
          <w:cantSplit/>
          <w:trHeight w:val="486"/>
        </w:trPr>
        <w:tc>
          <w:tcPr>
            <w:tcW w:w="3084" w:type="dxa"/>
            <w:gridSpan w:val="3"/>
            <w:shd w:val="clear" w:color="auto" w:fill="auto"/>
          </w:tcPr>
          <w:p w:rsidR="000251A4" w:rsidRPr="006F0A55" w:rsidRDefault="000251A4" w:rsidP="006F0A55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6F0A55">
              <w:rPr>
                <w:b w:val="0"/>
                <w:sz w:val="20"/>
                <w:szCs w:val="20"/>
              </w:rPr>
              <w:t>Set Assignment (critical evaluation of the provisions of a contract with regard to its legal effects and protection of interests of contracting parties and proposal of a revised contract, e.g. sales contract)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0251A4" w:rsidRPr="00AA6F2F" w:rsidRDefault="000251A4" w:rsidP="000251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0251A4" w:rsidRPr="00593547" w:rsidRDefault="0083193F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  <w:r w:rsidR="000251A4">
              <w:rPr>
                <w:rFonts w:ascii="Arial" w:hAnsi="Arial" w:cs="Arial"/>
                <w:sz w:val="20"/>
                <w:szCs w:val="20"/>
              </w:rPr>
              <w:t xml:space="preserve"> words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251A4" w:rsidRPr="00593547" w:rsidRDefault="0083193F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51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4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14</w:t>
            </w:r>
          </w:p>
        </w:tc>
      </w:tr>
      <w:tr w:rsidR="000251A4" w:rsidRPr="00E807BA" w:rsidTr="000251A4">
        <w:trPr>
          <w:cantSplit/>
          <w:trHeight w:val="881"/>
        </w:trPr>
        <w:tc>
          <w:tcPr>
            <w:tcW w:w="3084" w:type="dxa"/>
            <w:gridSpan w:val="3"/>
            <w:shd w:val="clear" w:color="auto" w:fill="auto"/>
          </w:tcPr>
          <w:p w:rsidR="000251A4" w:rsidRPr="006F0A55" w:rsidRDefault="000251A4" w:rsidP="000251A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6F0A55">
              <w:rPr>
                <w:b w:val="0"/>
                <w:sz w:val="20"/>
                <w:szCs w:val="20"/>
              </w:rPr>
              <w:t xml:space="preserve">Written Examination </w:t>
            </w:r>
          </w:p>
          <w:p w:rsidR="000251A4" w:rsidRPr="006F0A55" w:rsidRDefault="000251A4" w:rsidP="000251A4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6F0A55">
              <w:rPr>
                <w:b w:val="0"/>
                <w:sz w:val="20"/>
                <w:szCs w:val="20"/>
              </w:rPr>
              <w:t>(Final exam)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3 hours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298" w:type="dxa"/>
            <w:gridSpan w:val="4"/>
            <w:shd w:val="clear" w:color="auto" w:fill="auto"/>
          </w:tcPr>
          <w:p w:rsidR="000251A4" w:rsidRPr="00593547" w:rsidRDefault="000251A4" w:rsidP="000251A4">
            <w:pPr>
              <w:rPr>
                <w:rFonts w:ascii="Arial" w:hAnsi="Arial" w:cs="Arial"/>
                <w:sz w:val="20"/>
                <w:szCs w:val="20"/>
              </w:rPr>
            </w:pPr>
            <w:r w:rsidRPr="00593547">
              <w:rPr>
                <w:rFonts w:ascii="Arial" w:hAnsi="Arial" w:cs="Arial"/>
                <w:sz w:val="20"/>
                <w:szCs w:val="20"/>
              </w:rPr>
              <w:t>End of the semester</w:t>
            </w:r>
          </w:p>
        </w:tc>
      </w:tr>
    </w:tbl>
    <w:p w:rsidR="00AF5316" w:rsidRDefault="00AF5316" w:rsidP="00A3537D">
      <w:pPr>
        <w:rPr>
          <w:rFonts w:ascii="Arial" w:hAnsi="Arial" w:cs="Arial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50"/>
        <w:gridCol w:w="567"/>
        <w:gridCol w:w="5670"/>
      </w:tblGrid>
      <w:tr w:rsidR="00A3537D" w:rsidRPr="00E807BA" w:rsidTr="00E9147A">
        <w:trPr>
          <w:cantSplit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537D" w:rsidRPr="00BC4B2E" w:rsidRDefault="00484DEB" w:rsidP="002313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>Module</w:t>
            </w:r>
            <w:r w:rsidR="00DF1F81"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Outcomes</w:t>
            </w:r>
          </w:p>
        </w:tc>
      </w:tr>
      <w:tr w:rsidR="00DF1F81" w:rsidRPr="00E807BA" w:rsidTr="00E9147A">
        <w:trPr>
          <w:cantSplit/>
          <w:trHeight w:val="101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Default="00A97EAC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Intended Learning Outcomes</w:t>
            </w:r>
            <w:r w:rsidR="00DF1F81" w:rsidRPr="00BC4B2E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:</w:t>
            </w:r>
          </w:p>
          <w:p w:rsidR="00533763" w:rsidRPr="00BC4B2E" w:rsidRDefault="00533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7395C" w:rsidRPr="000724D8" w:rsidRDefault="0027395C" w:rsidP="000724D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Comprehensive understanding of the principles and sources of International business law;</w:t>
            </w:r>
          </w:p>
          <w:p w:rsidR="0027395C" w:rsidRPr="000724D8" w:rsidRDefault="0027395C" w:rsidP="000724D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Critical knowledge of international sale, credits and service transactions;</w:t>
            </w:r>
          </w:p>
          <w:p w:rsidR="0027395C" w:rsidRPr="000724D8" w:rsidRDefault="0027395C" w:rsidP="000724D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 xml:space="preserve">Further knowledge of the world economic order impact on business transactions – </w:t>
            </w:r>
            <w:r w:rsidR="00BF3895">
              <w:rPr>
                <w:rFonts w:ascii="Arial" w:hAnsi="Arial" w:cs="Arial"/>
                <w:sz w:val="20"/>
                <w:szCs w:val="20"/>
              </w:rPr>
              <w:t>General Agreement on trade and Tariffs (</w:t>
            </w:r>
            <w:r w:rsidRPr="000724D8">
              <w:rPr>
                <w:rFonts w:ascii="Arial" w:hAnsi="Arial" w:cs="Arial"/>
                <w:sz w:val="20"/>
                <w:szCs w:val="20"/>
              </w:rPr>
              <w:t>GATT</w:t>
            </w:r>
            <w:r w:rsidR="00BF3895">
              <w:rPr>
                <w:rFonts w:ascii="Arial" w:hAnsi="Arial" w:cs="Arial"/>
                <w:sz w:val="20"/>
                <w:szCs w:val="20"/>
              </w:rPr>
              <w:t>)</w:t>
            </w:r>
            <w:r w:rsidRPr="000724D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F3895">
              <w:rPr>
                <w:rFonts w:ascii="Arial" w:hAnsi="Arial" w:cs="Arial"/>
                <w:sz w:val="20"/>
                <w:szCs w:val="20"/>
              </w:rPr>
              <w:t>the World Trade Organi</w:t>
            </w:r>
            <w:r w:rsidR="000251A4">
              <w:rPr>
                <w:rFonts w:ascii="Arial" w:hAnsi="Arial" w:cs="Arial"/>
                <w:sz w:val="20"/>
                <w:szCs w:val="20"/>
              </w:rPr>
              <w:t>s</w:t>
            </w:r>
            <w:r w:rsidR="00BF3895">
              <w:rPr>
                <w:rFonts w:ascii="Arial" w:hAnsi="Arial" w:cs="Arial"/>
                <w:sz w:val="20"/>
                <w:szCs w:val="20"/>
              </w:rPr>
              <w:t>ation (</w:t>
            </w:r>
            <w:r w:rsidRPr="000724D8">
              <w:rPr>
                <w:rFonts w:ascii="Arial" w:hAnsi="Arial" w:cs="Arial"/>
                <w:sz w:val="20"/>
                <w:szCs w:val="20"/>
              </w:rPr>
              <w:t>WTO</w:t>
            </w:r>
            <w:r w:rsidR="00BF3895">
              <w:rPr>
                <w:rFonts w:ascii="Arial" w:hAnsi="Arial" w:cs="Arial"/>
                <w:sz w:val="20"/>
                <w:szCs w:val="20"/>
              </w:rPr>
              <w:t>)</w:t>
            </w:r>
            <w:r w:rsidRPr="000724D8">
              <w:rPr>
                <w:rFonts w:ascii="Arial" w:hAnsi="Arial" w:cs="Arial"/>
                <w:sz w:val="20"/>
                <w:szCs w:val="20"/>
              </w:rPr>
              <w:t xml:space="preserve">, as well as trade areas and economic integration; </w:t>
            </w:r>
          </w:p>
          <w:p w:rsidR="0027395C" w:rsidRPr="000724D8" w:rsidRDefault="00F53DB6" w:rsidP="000724D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Recognise and articulate on</w:t>
            </w:r>
            <w:r w:rsidR="0027395C" w:rsidRPr="000724D8">
              <w:rPr>
                <w:rFonts w:ascii="Arial" w:hAnsi="Arial" w:cs="Arial"/>
                <w:sz w:val="20"/>
                <w:szCs w:val="20"/>
              </w:rPr>
              <w:t xml:space="preserve"> the rules concerning access to foreign markets, import and export, </w:t>
            </w:r>
            <w:r w:rsidR="00AF5316">
              <w:rPr>
                <w:rFonts w:ascii="Arial" w:hAnsi="Arial" w:cs="Arial"/>
                <w:sz w:val="20"/>
                <w:szCs w:val="20"/>
              </w:rPr>
              <w:t>and</w:t>
            </w:r>
            <w:r w:rsidR="0027395C" w:rsidRPr="000724D8">
              <w:rPr>
                <w:rFonts w:ascii="Arial" w:hAnsi="Arial" w:cs="Arial"/>
                <w:sz w:val="20"/>
                <w:szCs w:val="20"/>
              </w:rPr>
              <w:t xml:space="preserve"> the issues of investment protection, expropriation, nationalisation and privatisation of foreign property; </w:t>
            </w:r>
          </w:p>
          <w:p w:rsidR="0027395C" w:rsidRPr="000724D8" w:rsidRDefault="0027395C" w:rsidP="000724D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 xml:space="preserve">Critical </w:t>
            </w:r>
            <w:r w:rsidR="00F53DB6">
              <w:rPr>
                <w:rFonts w:ascii="Arial" w:hAnsi="Arial" w:cs="Arial"/>
                <w:sz w:val="20"/>
                <w:szCs w:val="20"/>
              </w:rPr>
              <w:t xml:space="preserve">awareness </w:t>
            </w:r>
            <w:r w:rsidRPr="000724D8">
              <w:rPr>
                <w:rFonts w:ascii="Arial" w:hAnsi="Arial" w:cs="Arial"/>
                <w:sz w:val="20"/>
                <w:szCs w:val="20"/>
              </w:rPr>
              <w:t>of the competitive environment;</w:t>
            </w:r>
          </w:p>
          <w:p w:rsidR="00D172F5" w:rsidRPr="000724D8" w:rsidRDefault="0027395C" w:rsidP="00F53DB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Comprehensive knowledge of the settlement of disputes in international business law.</w:t>
            </w:r>
            <w:r w:rsidRPr="000724D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Pr="00BC4B2E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B6763" w:rsidRDefault="00BB6763" w:rsidP="00FF7CCE">
            <w:pP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763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DF1F81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DF1F81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DF1F81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533763" w:rsidRPr="00D719AE" w:rsidRDefault="00533763" w:rsidP="0023134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F1F81" w:rsidRPr="00023196" w:rsidRDefault="00B06081" w:rsidP="000231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23196">
              <w:rPr>
                <w:rFonts w:ascii="Arial" w:hAnsi="Arial" w:cs="Arial"/>
                <w:sz w:val="20"/>
                <w:szCs w:val="20"/>
              </w:rPr>
              <w:t>Lectures provide information on the key topics and students are given reading lists to complement these. (ILO: 1-6)</w:t>
            </w:r>
          </w:p>
          <w:p w:rsidR="00B06081" w:rsidRPr="00023196" w:rsidRDefault="00F53DB6" w:rsidP="000231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B06081" w:rsidRPr="00023196">
              <w:rPr>
                <w:rFonts w:ascii="Arial" w:hAnsi="Arial" w:cs="Arial"/>
                <w:sz w:val="20"/>
                <w:szCs w:val="20"/>
              </w:rPr>
              <w:t>s provide the platform for group discussion, topical case study analysis and presentations. (ILO: 1-6)</w:t>
            </w:r>
          </w:p>
          <w:p w:rsidR="00B06081" w:rsidRPr="00023196" w:rsidRDefault="00B06081" w:rsidP="000231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23196">
              <w:rPr>
                <w:rFonts w:ascii="Arial" w:hAnsi="Arial" w:cs="Arial"/>
                <w:sz w:val="20"/>
                <w:szCs w:val="20"/>
              </w:rPr>
              <w:t xml:space="preserve">Set assignments are designed to test student subject knowledge, and enhance </w:t>
            </w:r>
            <w:r w:rsidR="00533763" w:rsidRPr="00023196">
              <w:rPr>
                <w:rFonts w:ascii="Arial" w:hAnsi="Arial" w:cs="Arial"/>
                <w:sz w:val="20"/>
                <w:szCs w:val="20"/>
              </w:rPr>
              <w:t xml:space="preserve">written and </w:t>
            </w:r>
            <w:r w:rsidRPr="00023196">
              <w:rPr>
                <w:rFonts w:ascii="Arial" w:hAnsi="Arial" w:cs="Arial"/>
                <w:sz w:val="20"/>
                <w:szCs w:val="20"/>
              </w:rPr>
              <w:t>research skills. (ILO:1-6)</w:t>
            </w:r>
          </w:p>
          <w:p w:rsidR="00D172F5" w:rsidRPr="00023196" w:rsidRDefault="00B06081" w:rsidP="000231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23196">
              <w:rPr>
                <w:rFonts w:ascii="Arial" w:hAnsi="Arial" w:cs="Arial"/>
                <w:sz w:val="20"/>
                <w:szCs w:val="20"/>
              </w:rPr>
              <w:t>Tutors provide guidance for independent study. (ILO:1-6)</w:t>
            </w:r>
          </w:p>
          <w:p w:rsidR="00023196" w:rsidRDefault="004846ED" w:rsidP="000231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Films</w:t>
            </w:r>
            <w:r w:rsidR="00023196" w:rsidRPr="00023196">
              <w:rPr>
                <w:rFonts w:ascii="Arial" w:hAnsi="Arial" w:cs="Arial"/>
                <w:sz w:val="20"/>
                <w:szCs w:val="20"/>
              </w:rPr>
              <w:t xml:space="preserve"> (documentary) will provide students with valuable knowledge and in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3196" w:rsidRPr="00023196">
              <w:rPr>
                <w:rFonts w:ascii="Arial" w:hAnsi="Arial" w:cs="Arial"/>
                <w:sz w:val="20"/>
                <w:szCs w:val="20"/>
              </w:rPr>
              <w:t>depth understanding of practice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23196" w:rsidRPr="00023196">
              <w:rPr>
                <w:rFonts w:ascii="Arial" w:hAnsi="Arial" w:cs="Arial"/>
                <w:sz w:val="20"/>
                <w:szCs w:val="20"/>
              </w:rPr>
              <w:t xml:space="preserve"> enabling critical evaluation and inciting in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3196" w:rsidRPr="00023196">
              <w:rPr>
                <w:rFonts w:ascii="Arial" w:hAnsi="Arial" w:cs="Arial"/>
                <w:sz w:val="20"/>
                <w:szCs w:val="20"/>
              </w:rPr>
              <w:t>depth discussion on issues arising in international business law, especially dispute resolution (ILO: 1-6)</w:t>
            </w:r>
          </w:p>
          <w:p w:rsidR="00795860" w:rsidRPr="00023196" w:rsidRDefault="00795860" w:rsidP="0002319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Supervised contract evaluation and drafting (ILO: 1,2,6)</w:t>
            </w:r>
          </w:p>
        </w:tc>
      </w:tr>
      <w:tr w:rsidR="00DF1F81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Pr="00BC4B2E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F81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</w:t>
            </w:r>
            <w:r w:rsidR="0023134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Strategy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06081" w:rsidRDefault="00B0608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06081" w:rsidRDefault="004A2290" w:rsidP="00B060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examination</w:t>
            </w:r>
            <w:r w:rsidR="004846E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24DB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final exam will </w:t>
            </w:r>
            <w:r w:rsidR="00533763">
              <w:rPr>
                <w:rFonts w:ascii="Arial" w:hAnsi="Arial" w:cs="Arial"/>
                <w:sz w:val="20"/>
                <w:szCs w:val="20"/>
              </w:rPr>
              <w:t>test student subject knowledge and cognitive ability</w:t>
            </w:r>
            <w:r w:rsidR="00484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081" w:rsidRPr="00533763">
              <w:rPr>
                <w:rFonts w:ascii="Arial" w:hAnsi="Arial" w:cs="Arial"/>
                <w:sz w:val="20"/>
                <w:szCs w:val="20"/>
              </w:rPr>
              <w:t>(ILO:1-6)</w:t>
            </w:r>
          </w:p>
          <w:p w:rsidR="004A2290" w:rsidRPr="00533763" w:rsidRDefault="005E24DB" w:rsidP="00B060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A2290">
              <w:rPr>
                <w:rFonts w:ascii="Arial" w:hAnsi="Arial" w:cs="Arial"/>
                <w:sz w:val="20"/>
                <w:szCs w:val="20"/>
              </w:rPr>
              <w:t xml:space="preserve">id- </w:t>
            </w:r>
            <w:r w:rsidR="004846ED">
              <w:rPr>
                <w:rFonts w:ascii="Arial" w:hAnsi="Arial" w:cs="Arial"/>
                <w:sz w:val="20"/>
                <w:szCs w:val="20"/>
              </w:rPr>
              <w:t>semester</w:t>
            </w:r>
            <w:r w:rsidR="00412583">
              <w:rPr>
                <w:rFonts w:ascii="Arial" w:hAnsi="Arial" w:cs="Arial"/>
                <w:sz w:val="20"/>
                <w:szCs w:val="20"/>
              </w:rPr>
              <w:t xml:space="preserve"> test </w:t>
            </w:r>
            <w:r w:rsidR="004A2290">
              <w:rPr>
                <w:rFonts w:ascii="Arial" w:hAnsi="Arial" w:cs="Arial"/>
                <w:sz w:val="20"/>
                <w:szCs w:val="20"/>
              </w:rPr>
              <w:t xml:space="preserve"> (ILO:1,3,4,5)</w:t>
            </w:r>
          </w:p>
          <w:p w:rsidR="00761B7E" w:rsidRDefault="00B06081" w:rsidP="00B0608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33763">
              <w:rPr>
                <w:rFonts w:ascii="Arial" w:hAnsi="Arial" w:cs="Arial"/>
                <w:sz w:val="20"/>
                <w:szCs w:val="20"/>
              </w:rPr>
              <w:t>Set assignments</w:t>
            </w:r>
            <w:r w:rsidR="00533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77D">
              <w:rPr>
                <w:rFonts w:ascii="Arial" w:hAnsi="Arial" w:cs="Arial"/>
                <w:sz w:val="20"/>
                <w:szCs w:val="20"/>
              </w:rPr>
              <w:t>(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case study; </w:t>
            </w:r>
            <w:r w:rsidR="00AA6F2F">
              <w:rPr>
                <w:rFonts w:ascii="Arial" w:hAnsi="Arial" w:cs="Arial"/>
                <w:sz w:val="20"/>
                <w:szCs w:val="20"/>
              </w:rPr>
              <w:t>contract evaluation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 and drafting</w:t>
            </w:r>
            <w:r w:rsidR="0019377D">
              <w:rPr>
                <w:rFonts w:ascii="Arial" w:hAnsi="Arial" w:cs="Arial"/>
                <w:sz w:val="20"/>
                <w:szCs w:val="20"/>
              </w:rPr>
              <w:t>)</w:t>
            </w:r>
            <w:r w:rsidR="00533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4DB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4846ED">
              <w:rPr>
                <w:rFonts w:ascii="Arial" w:hAnsi="Arial" w:cs="Arial"/>
                <w:sz w:val="20"/>
                <w:szCs w:val="20"/>
              </w:rPr>
              <w:t xml:space="preserve">enable </w:t>
            </w:r>
            <w:r w:rsidR="00533763">
              <w:rPr>
                <w:rFonts w:ascii="Arial" w:hAnsi="Arial" w:cs="Arial"/>
                <w:sz w:val="20"/>
                <w:szCs w:val="20"/>
              </w:rPr>
              <w:t xml:space="preserve">students to research a given topic and practice critical 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and professional </w:t>
            </w:r>
            <w:r w:rsidR="00533763">
              <w:rPr>
                <w:rFonts w:ascii="Arial" w:hAnsi="Arial" w:cs="Arial"/>
                <w:sz w:val="20"/>
                <w:szCs w:val="20"/>
              </w:rPr>
              <w:t>writing skill</w:t>
            </w:r>
            <w:r w:rsidR="004846ED">
              <w:rPr>
                <w:rFonts w:ascii="Arial" w:hAnsi="Arial" w:cs="Arial"/>
                <w:sz w:val="20"/>
                <w:szCs w:val="20"/>
              </w:rPr>
              <w:t>s</w:t>
            </w:r>
            <w:r w:rsidRPr="005337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72F5" w:rsidRPr="008F1663" w:rsidRDefault="00B06081" w:rsidP="008F166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3763">
              <w:rPr>
                <w:rFonts w:ascii="Arial" w:hAnsi="Arial" w:cs="Arial"/>
                <w:sz w:val="20"/>
                <w:szCs w:val="20"/>
              </w:rPr>
              <w:t>(ILO: 3,4,</w:t>
            </w:r>
            <w:r w:rsidR="004A2290">
              <w:rPr>
                <w:rFonts w:ascii="Arial" w:hAnsi="Arial" w:cs="Arial"/>
                <w:sz w:val="20"/>
                <w:szCs w:val="20"/>
              </w:rPr>
              <w:t>5,</w:t>
            </w:r>
            <w:r w:rsidRPr="00533763">
              <w:rPr>
                <w:rFonts w:ascii="Arial" w:hAnsi="Arial" w:cs="Arial"/>
                <w:sz w:val="20"/>
                <w:szCs w:val="20"/>
              </w:rPr>
              <w:t>6)</w:t>
            </w:r>
          </w:p>
        </w:tc>
      </w:tr>
      <w:tr w:rsidR="00BB6763" w:rsidRPr="00E807BA" w:rsidTr="00533763">
        <w:trPr>
          <w:cantSplit/>
        </w:trPr>
        <w:tc>
          <w:tcPr>
            <w:tcW w:w="42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6763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Practical Skills:</w:t>
            </w:r>
          </w:p>
          <w:p w:rsidR="00533763" w:rsidRDefault="00533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216D8D" w:rsidRDefault="00216D8D" w:rsidP="0074139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 xml:space="preserve">Ability to critically evaluate </w:t>
            </w:r>
            <w:r w:rsidR="00F53DB6">
              <w:rPr>
                <w:rFonts w:ascii="Arial" w:hAnsi="Arial" w:cs="Arial"/>
                <w:sz w:val="20"/>
                <w:szCs w:val="20"/>
              </w:rPr>
              <w:t>complex resources</w:t>
            </w:r>
            <w:r w:rsidRPr="0074139A">
              <w:rPr>
                <w:rFonts w:ascii="Arial" w:hAnsi="Arial" w:cs="Arial"/>
                <w:sz w:val="20"/>
                <w:szCs w:val="20"/>
              </w:rPr>
              <w:t xml:space="preserve"> relating to International Business Law</w:t>
            </w:r>
          </w:p>
          <w:p w:rsidR="00216D8D" w:rsidRDefault="00216D8D" w:rsidP="0074139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Ability to interpret and apply legal rules to a given set of facts and provide a critical legal assessment</w:t>
            </w:r>
          </w:p>
          <w:p w:rsidR="00AA6F2F" w:rsidRDefault="00AA6F2F" w:rsidP="0074139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evaluate business contracts in the area of International Business Law and to draft contracts protecting interests of the contracting parties</w:t>
            </w:r>
            <w:r w:rsidR="0079586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95860" w:rsidRPr="0074139A" w:rsidRDefault="00795860" w:rsidP="0074139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research abilities in the area of International Business Law</w:t>
            </w:r>
          </w:p>
          <w:p w:rsidR="00216D8D" w:rsidRDefault="00216D8D" w:rsidP="0074139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21813" w:rsidRPr="00412583" w:rsidRDefault="00021813" w:rsidP="0074139A">
            <w:pPr>
              <w:pStyle w:val="ListParagrap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386671" w:rsidRDefault="00386671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BB6763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763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533763" w:rsidRPr="00D719AE" w:rsidRDefault="00533763" w:rsidP="00BB67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9377D" w:rsidRDefault="0019377D" w:rsidP="001937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Lectures will provide information on latest practically relevant issues in International Business Law (PS: 1)</w:t>
            </w:r>
          </w:p>
          <w:p w:rsidR="0019377D" w:rsidRPr="00CA67B2" w:rsidRDefault="0019377D" w:rsidP="001937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 xml:space="preserve">Set reading lists will direct students to relevant material and they will be guided through independent study. </w:t>
            </w:r>
          </w:p>
          <w:p w:rsidR="0019377D" w:rsidRPr="00CA67B2" w:rsidRDefault="0019377D" w:rsidP="0019377D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(PS: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860">
              <w:rPr>
                <w:rFonts w:ascii="Arial" w:hAnsi="Arial" w:cs="Arial"/>
                <w:sz w:val="20"/>
                <w:szCs w:val="20"/>
              </w:rPr>
              <w:t>1-4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9377D" w:rsidRPr="00CA67B2" w:rsidRDefault="00F53DB6" w:rsidP="001937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19377D" w:rsidRPr="00CA67B2">
              <w:rPr>
                <w:rFonts w:ascii="Arial" w:hAnsi="Arial" w:cs="Arial"/>
                <w:sz w:val="20"/>
                <w:szCs w:val="20"/>
              </w:rPr>
              <w:t>s operate as a platfor</w:t>
            </w:r>
            <w:r w:rsidR="0019377D">
              <w:rPr>
                <w:rFonts w:ascii="Arial" w:hAnsi="Arial" w:cs="Arial"/>
                <w:sz w:val="20"/>
                <w:szCs w:val="20"/>
              </w:rPr>
              <w:t xml:space="preserve">m for group discussion, debate </w:t>
            </w:r>
            <w:r w:rsidR="0019377D" w:rsidRPr="00CA67B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9377D">
              <w:rPr>
                <w:rFonts w:ascii="Arial" w:hAnsi="Arial" w:cs="Arial"/>
                <w:sz w:val="20"/>
                <w:szCs w:val="20"/>
              </w:rPr>
              <w:t xml:space="preserve">in-depth </w:t>
            </w:r>
            <w:r w:rsidR="0019377D" w:rsidRPr="00CA67B2">
              <w:rPr>
                <w:rFonts w:ascii="Arial" w:hAnsi="Arial" w:cs="Arial"/>
                <w:sz w:val="20"/>
                <w:szCs w:val="20"/>
              </w:rPr>
              <w:t>case-study analysis.(PS:1-</w:t>
            </w:r>
            <w:r w:rsidR="00795860">
              <w:rPr>
                <w:rFonts w:ascii="Arial" w:hAnsi="Arial" w:cs="Arial"/>
                <w:sz w:val="20"/>
                <w:szCs w:val="20"/>
              </w:rPr>
              <w:t>4</w:t>
            </w:r>
            <w:r w:rsidR="0019377D"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9377D" w:rsidRDefault="0019377D" w:rsidP="001937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A67B2">
              <w:rPr>
                <w:rFonts w:ascii="Arial" w:hAnsi="Arial" w:cs="Arial"/>
                <w:sz w:val="20"/>
                <w:szCs w:val="20"/>
              </w:rPr>
              <w:t>Students will be s</w:t>
            </w:r>
            <w:r>
              <w:rPr>
                <w:rFonts w:ascii="Arial" w:hAnsi="Arial" w:cs="Arial"/>
                <w:sz w:val="20"/>
                <w:szCs w:val="20"/>
              </w:rPr>
              <w:t xml:space="preserve">et assignments which complement </w:t>
            </w:r>
            <w:r w:rsidRPr="00CA67B2">
              <w:rPr>
                <w:rFonts w:ascii="Arial" w:hAnsi="Arial" w:cs="Arial"/>
                <w:sz w:val="20"/>
                <w:szCs w:val="20"/>
              </w:rPr>
              <w:t xml:space="preserve">lectures and </w:t>
            </w:r>
            <w:r w:rsidR="00F53DB6">
              <w:rPr>
                <w:rFonts w:ascii="Arial" w:hAnsi="Arial" w:cs="Arial"/>
                <w:sz w:val="20"/>
                <w:szCs w:val="20"/>
              </w:rPr>
              <w:t>seminar</w:t>
            </w:r>
            <w:r w:rsidRPr="00CA67B2">
              <w:rPr>
                <w:rFonts w:ascii="Arial" w:hAnsi="Arial" w:cs="Arial"/>
                <w:sz w:val="20"/>
                <w:szCs w:val="20"/>
              </w:rPr>
              <w:t>s.</w:t>
            </w:r>
            <w:r>
              <w:rPr>
                <w:rFonts w:ascii="Arial" w:hAnsi="Arial" w:cs="Arial"/>
                <w:sz w:val="20"/>
                <w:szCs w:val="20"/>
              </w:rPr>
              <w:t>(PS:</w:t>
            </w:r>
            <w:r w:rsidR="00795860">
              <w:rPr>
                <w:rFonts w:ascii="Arial" w:hAnsi="Arial" w:cs="Arial"/>
                <w:sz w:val="20"/>
                <w:szCs w:val="20"/>
              </w:rPr>
              <w:t>1-4</w:t>
            </w:r>
            <w:r w:rsidRPr="00CA67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9377D" w:rsidRDefault="0019377D" w:rsidP="001937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4CD7">
              <w:rPr>
                <w:rFonts w:ascii="Arial" w:hAnsi="Arial" w:cs="Arial"/>
                <w:sz w:val="20"/>
                <w:szCs w:val="20"/>
              </w:rPr>
              <w:t>Short presentations in class on previously assigned topic will help students to present and practice legal presentation on specific topics backed by legal argumentation</w:t>
            </w:r>
            <w:r w:rsidR="0040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4CD7">
              <w:rPr>
                <w:rFonts w:ascii="Arial" w:hAnsi="Arial" w:cs="Arial"/>
                <w:sz w:val="20"/>
                <w:szCs w:val="20"/>
              </w:rPr>
              <w:t xml:space="preserve">(PS: </w:t>
            </w:r>
            <w:r w:rsidR="00216D8D">
              <w:rPr>
                <w:rFonts w:ascii="Arial" w:hAnsi="Arial" w:cs="Arial"/>
                <w:sz w:val="20"/>
                <w:szCs w:val="20"/>
              </w:rPr>
              <w:t>1</w:t>
            </w:r>
            <w:r w:rsidR="00795860">
              <w:rPr>
                <w:rFonts w:ascii="Arial" w:hAnsi="Arial" w:cs="Arial"/>
                <w:sz w:val="20"/>
                <w:szCs w:val="20"/>
              </w:rPr>
              <w:t>,4</w:t>
            </w:r>
            <w:r w:rsidR="00405B9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813" w:rsidRDefault="00216D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Films </w:t>
            </w:r>
            <w:r w:rsidR="0019377D">
              <w:rPr>
                <w:rFonts w:ascii="Arial" w:hAnsi="Arial" w:cs="Arial"/>
                <w:sz w:val="20"/>
                <w:szCs w:val="20"/>
              </w:rPr>
              <w:t>(documentary) will provide students with valuable in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9377D">
              <w:rPr>
                <w:rFonts w:ascii="Arial" w:hAnsi="Arial" w:cs="Arial"/>
                <w:sz w:val="20"/>
                <w:szCs w:val="20"/>
              </w:rPr>
              <w:t>depth understanding of practice, aiding in the interpretation and application of International Business Law (PS:1,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5B9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A6F2F" w:rsidRDefault="00AA6F2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Supervised contract evaluation and drafting (PS: 1,3</w:t>
            </w:r>
            <w:r w:rsidR="00795860">
              <w:rPr>
                <w:rFonts w:ascii="Arial" w:hAnsi="Arial" w:cs="Arial"/>
                <w:sz w:val="20"/>
                <w:szCs w:val="20"/>
              </w:rPr>
              <w:t>,4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B6763" w:rsidRPr="00E807BA" w:rsidTr="00386671">
        <w:trPr>
          <w:cantSplit/>
        </w:trPr>
        <w:tc>
          <w:tcPr>
            <w:tcW w:w="42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63" w:rsidRDefault="00BB6763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63" w:rsidRDefault="00BB6763" w:rsidP="0038667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Default="00BB6763" w:rsidP="0038667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38667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B6763" w:rsidRPr="00BC4B2E" w:rsidRDefault="00BB6763" w:rsidP="0038667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763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DD60F0" w:rsidRDefault="00DD60F0" w:rsidP="00DD60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A4BF2" w:rsidRPr="0074139A" w:rsidRDefault="0019377D" w:rsidP="00DD60F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D60F0">
              <w:rPr>
                <w:rFonts w:ascii="Arial" w:hAnsi="Arial" w:cs="Arial"/>
                <w:sz w:val="20"/>
                <w:szCs w:val="20"/>
              </w:rPr>
              <w:t>Written examination</w:t>
            </w:r>
            <w:r w:rsidR="00405B9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60F0">
              <w:rPr>
                <w:rFonts w:ascii="Arial" w:hAnsi="Arial" w:cs="Arial"/>
                <w:sz w:val="20"/>
                <w:szCs w:val="20"/>
              </w:rPr>
              <w:t>final exam, mid-</w:t>
            </w:r>
            <w:r w:rsidR="00405B92">
              <w:rPr>
                <w:rFonts w:ascii="Arial" w:hAnsi="Arial" w:cs="Arial"/>
                <w:sz w:val="20"/>
                <w:szCs w:val="20"/>
              </w:rPr>
              <w:t>semester</w:t>
            </w:r>
            <w:r w:rsidRPr="00DD60F0">
              <w:rPr>
                <w:rFonts w:ascii="Arial" w:hAnsi="Arial" w:cs="Arial"/>
                <w:sz w:val="20"/>
                <w:szCs w:val="20"/>
              </w:rPr>
              <w:t xml:space="preserve"> test </w:t>
            </w:r>
          </w:p>
          <w:p w:rsidR="0019377D" w:rsidRPr="00DD60F0" w:rsidRDefault="0019377D" w:rsidP="0074139A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DD60F0">
              <w:rPr>
                <w:rFonts w:ascii="Arial" w:hAnsi="Arial" w:cs="Arial"/>
                <w:sz w:val="20"/>
                <w:szCs w:val="20"/>
              </w:rPr>
              <w:t xml:space="preserve">(PS: </w:t>
            </w:r>
            <w:r w:rsidR="003A4BF2">
              <w:rPr>
                <w:rFonts w:ascii="Arial" w:hAnsi="Arial" w:cs="Arial"/>
                <w:sz w:val="20"/>
                <w:szCs w:val="20"/>
              </w:rPr>
              <w:t>1</w:t>
            </w:r>
            <w:r w:rsidR="00795860">
              <w:rPr>
                <w:rFonts w:ascii="Arial" w:hAnsi="Arial" w:cs="Arial"/>
                <w:sz w:val="20"/>
                <w:szCs w:val="20"/>
              </w:rPr>
              <w:t>,2</w:t>
            </w:r>
            <w:r w:rsidRPr="00DD60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9377D" w:rsidRPr="00DD60F0" w:rsidRDefault="0019377D" w:rsidP="00DD60F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D60F0">
              <w:rPr>
                <w:rFonts w:ascii="Arial" w:hAnsi="Arial" w:cs="Arial"/>
                <w:sz w:val="20"/>
                <w:szCs w:val="20"/>
              </w:rPr>
              <w:t>Set assignments</w:t>
            </w:r>
            <w:r w:rsidR="00F756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case study; </w:t>
            </w:r>
            <w:r w:rsidR="00AA6F2F">
              <w:rPr>
                <w:rFonts w:ascii="Arial" w:hAnsi="Arial" w:cs="Arial"/>
                <w:sz w:val="20"/>
                <w:szCs w:val="20"/>
              </w:rPr>
              <w:t>contract evaluation</w:t>
            </w:r>
            <w:r w:rsidRPr="00DD6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and drafting </w:t>
            </w:r>
            <w:r w:rsidRPr="00DD60F0">
              <w:rPr>
                <w:rFonts w:ascii="Arial" w:hAnsi="Arial" w:cs="Arial"/>
                <w:sz w:val="20"/>
                <w:szCs w:val="20"/>
              </w:rPr>
              <w:t>(PS: 1-</w:t>
            </w:r>
            <w:r w:rsidR="00AA6F2F">
              <w:rPr>
                <w:rFonts w:ascii="Arial" w:hAnsi="Arial" w:cs="Arial"/>
                <w:sz w:val="20"/>
                <w:szCs w:val="20"/>
              </w:rPr>
              <w:t>3</w:t>
            </w:r>
            <w:r w:rsidRPr="00DD60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B6763" w:rsidRPr="00795860" w:rsidRDefault="00BB6763" w:rsidP="008F166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Default="00A97EAC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Transferable</w:t>
            </w:r>
            <w:r w:rsidR="00BB676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Skills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4E058D" w:rsidRPr="00BC4B2E" w:rsidRDefault="004E058D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0724D8" w:rsidRDefault="002366E1" w:rsidP="0007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Ability to present reasoned arguments for decisions</w:t>
            </w:r>
          </w:p>
          <w:p w:rsidR="00BC4B2E" w:rsidRPr="000724D8" w:rsidRDefault="004E058D" w:rsidP="0007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A</w:t>
            </w:r>
            <w:r w:rsidR="002366E1" w:rsidRPr="000724D8">
              <w:rPr>
                <w:rFonts w:ascii="Arial" w:hAnsi="Arial" w:cs="Arial"/>
                <w:sz w:val="20"/>
                <w:szCs w:val="20"/>
              </w:rPr>
              <w:t>bility to identify and critique theories</w:t>
            </w:r>
          </w:p>
          <w:p w:rsidR="00BC4B2E" w:rsidRPr="000724D8" w:rsidRDefault="004E058D" w:rsidP="0007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P</w:t>
            </w:r>
            <w:r w:rsidR="002366E1" w:rsidRPr="000724D8">
              <w:rPr>
                <w:rFonts w:ascii="Arial" w:hAnsi="Arial" w:cs="Arial"/>
                <w:sz w:val="20"/>
                <w:szCs w:val="20"/>
              </w:rPr>
              <w:t>resentation skills</w:t>
            </w:r>
          </w:p>
          <w:p w:rsidR="00E807BA" w:rsidRPr="000724D8" w:rsidRDefault="004E058D" w:rsidP="0007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C</w:t>
            </w:r>
            <w:r w:rsidR="002366E1" w:rsidRPr="000724D8">
              <w:rPr>
                <w:rFonts w:ascii="Arial" w:hAnsi="Arial" w:cs="Arial"/>
                <w:sz w:val="20"/>
                <w:szCs w:val="20"/>
              </w:rPr>
              <w:t>ritical thinking skills</w:t>
            </w:r>
          </w:p>
          <w:p w:rsidR="00D172F5" w:rsidRPr="000724D8" w:rsidRDefault="004E058D" w:rsidP="000724D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>T</w:t>
            </w:r>
            <w:r w:rsidR="002366E1" w:rsidRPr="000724D8">
              <w:rPr>
                <w:rFonts w:ascii="Arial" w:hAnsi="Arial" w:cs="Arial"/>
                <w:sz w:val="20"/>
                <w:szCs w:val="20"/>
              </w:rPr>
              <w:t>ime management skills</w:t>
            </w: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Default="002366E1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66E1" w:rsidRPr="00BC4B2E" w:rsidRDefault="002366E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86671" w:rsidRDefault="00386671" w:rsidP="00FF7CCE">
            <w:pPr>
              <w:rPr>
                <w:rFonts w:ascii="Arial" w:hAnsi="Arial" w:cs="Arial"/>
                <w:sz w:val="40"/>
                <w:szCs w:val="40"/>
              </w:rPr>
            </w:pPr>
          </w:p>
          <w:p w:rsidR="00E807BA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E807BA" w:rsidRPr="00BC4B2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386671" w:rsidRDefault="0038667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4E058D" w:rsidRPr="004E058D" w:rsidRDefault="00F53DB6" w:rsidP="004E05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 w:rsidR="004E058D">
              <w:rPr>
                <w:rFonts w:ascii="Arial" w:hAnsi="Arial" w:cs="Arial"/>
                <w:sz w:val="20"/>
                <w:szCs w:val="20"/>
              </w:rPr>
              <w:t>s provide a forum environment for interactive discussion and in-depth subject analysis. (TS: 1,2,4)</w:t>
            </w:r>
          </w:p>
          <w:p w:rsidR="003A287B" w:rsidRPr="003A287B" w:rsidRDefault="004E058D" w:rsidP="004E058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assignments enable independent guided study </w:t>
            </w:r>
          </w:p>
          <w:p w:rsidR="004E058D" w:rsidRPr="004E058D" w:rsidRDefault="004E058D" w:rsidP="003A287B">
            <w:pPr>
              <w:pStyle w:val="ListParagraph"/>
              <w:ind w:left="36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(TS: 1,2,4,5)</w:t>
            </w:r>
          </w:p>
          <w:p w:rsidR="000E5647" w:rsidRPr="000E5647" w:rsidRDefault="003A287B" w:rsidP="000E56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Presentation:</w:t>
            </w:r>
            <w:r w:rsidR="004E05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enables students</w:t>
            </w:r>
            <w:r w:rsidR="004E058D">
              <w:rPr>
                <w:rFonts w:ascii="Arial" w:hAnsi="Arial" w:cs="Arial"/>
                <w:sz w:val="20"/>
                <w:szCs w:val="20"/>
              </w:rPr>
              <w:t xml:space="preserve"> to explore a given topic and present their ideas clearly in a group environment. (TS: 1-5)</w:t>
            </w:r>
          </w:p>
          <w:p w:rsidR="00021813" w:rsidRDefault="003A4B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Films </w:t>
            </w:r>
            <w:r w:rsidR="00DD60F0">
              <w:rPr>
                <w:rFonts w:ascii="Arial" w:hAnsi="Arial" w:cs="Arial"/>
                <w:sz w:val="20"/>
                <w:szCs w:val="20"/>
              </w:rPr>
              <w:t xml:space="preserve">(documentary) </w:t>
            </w:r>
            <w:r>
              <w:rPr>
                <w:rFonts w:ascii="Arial" w:hAnsi="Arial" w:cs="Arial"/>
                <w:sz w:val="20"/>
                <w:szCs w:val="20"/>
              </w:rPr>
              <w:t xml:space="preserve">are shown to students and </w:t>
            </w:r>
            <w:r w:rsidR="00DD60F0">
              <w:rPr>
                <w:rFonts w:ascii="Arial" w:hAnsi="Arial" w:cs="Arial"/>
                <w:sz w:val="20"/>
                <w:szCs w:val="20"/>
              </w:rPr>
              <w:t xml:space="preserve">will provide understanding of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international business law in </w:t>
            </w:r>
            <w:r w:rsidR="00DD60F0">
              <w:rPr>
                <w:rFonts w:ascii="Arial" w:hAnsi="Arial" w:cs="Arial"/>
                <w:sz w:val="20"/>
                <w:szCs w:val="20"/>
              </w:rPr>
              <w:t>practic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D60F0">
              <w:rPr>
                <w:rFonts w:ascii="Arial" w:hAnsi="Arial" w:cs="Arial"/>
                <w:sz w:val="20"/>
                <w:szCs w:val="20"/>
              </w:rPr>
              <w:t>(PS:</w:t>
            </w:r>
            <w:r>
              <w:rPr>
                <w:rFonts w:ascii="Arial" w:hAnsi="Arial" w:cs="Arial"/>
                <w:sz w:val="20"/>
                <w:szCs w:val="20"/>
              </w:rPr>
              <w:t>2,3</w:t>
            </w:r>
            <w:r w:rsidR="00DD60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61B7E" w:rsidRPr="00BC4B2E" w:rsidRDefault="00761B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BC4B2E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B6763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4E058D" w:rsidRDefault="004E058D" w:rsidP="002313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A4BF2" w:rsidRPr="0074139A" w:rsidRDefault="00DD60F0" w:rsidP="00DD60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DD60F0">
              <w:rPr>
                <w:rFonts w:ascii="Arial" w:hAnsi="Arial" w:cs="Arial"/>
                <w:sz w:val="20"/>
                <w:szCs w:val="20"/>
              </w:rPr>
              <w:t>Written examination</w:t>
            </w:r>
            <w:r w:rsidR="008B28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60F0">
              <w:rPr>
                <w:rFonts w:ascii="Arial" w:hAnsi="Arial" w:cs="Arial"/>
                <w:sz w:val="20"/>
                <w:szCs w:val="20"/>
              </w:rPr>
              <w:t>final exam, mid-</w:t>
            </w:r>
            <w:r w:rsidR="008B28C9">
              <w:rPr>
                <w:rFonts w:ascii="Arial" w:hAnsi="Arial" w:cs="Arial"/>
                <w:sz w:val="20"/>
                <w:szCs w:val="20"/>
              </w:rPr>
              <w:t>semester</w:t>
            </w:r>
            <w:r w:rsidRPr="00DD60F0">
              <w:rPr>
                <w:rFonts w:ascii="Arial" w:hAnsi="Arial" w:cs="Arial"/>
                <w:sz w:val="20"/>
                <w:szCs w:val="20"/>
              </w:rPr>
              <w:t xml:space="preserve"> test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60F0" w:rsidRPr="00DD60F0" w:rsidRDefault="00DD60F0" w:rsidP="0074139A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Pr="00DD60F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 1,2,4,5</w:t>
            </w:r>
            <w:r w:rsidRPr="00DD60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60F0" w:rsidRPr="00DD60F0" w:rsidRDefault="00DD60F0" w:rsidP="00DD60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D60F0">
              <w:rPr>
                <w:rFonts w:ascii="Arial" w:hAnsi="Arial" w:cs="Arial"/>
                <w:sz w:val="20"/>
                <w:szCs w:val="20"/>
              </w:rPr>
              <w:t>Set assignments</w:t>
            </w:r>
            <w:r w:rsidR="008B28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5860">
              <w:rPr>
                <w:rFonts w:ascii="Arial" w:hAnsi="Arial" w:cs="Arial"/>
                <w:sz w:val="20"/>
                <w:szCs w:val="20"/>
              </w:rPr>
              <w:t xml:space="preserve">case study; </w:t>
            </w:r>
            <w:r w:rsidR="00AA6F2F">
              <w:rPr>
                <w:rFonts w:ascii="Arial" w:hAnsi="Arial" w:cs="Arial"/>
                <w:sz w:val="20"/>
                <w:szCs w:val="20"/>
              </w:rPr>
              <w:t>contract evaluation</w:t>
            </w:r>
            <w:r w:rsidR="00795860">
              <w:rPr>
                <w:rFonts w:ascii="Arial" w:hAnsi="Arial" w:cs="Arial"/>
                <w:sz w:val="20"/>
                <w:szCs w:val="20"/>
              </w:rPr>
              <w:t>, drafting and presentation</w:t>
            </w:r>
            <w:r w:rsidRPr="00DD60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(TS: 1-5</w:t>
            </w:r>
            <w:r w:rsidRPr="00DD60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414E8" w:rsidRDefault="00C414E8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Default="00386671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1663" w:rsidRDefault="008F1663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1663" w:rsidRDefault="008F1663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1663" w:rsidRDefault="008F1663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1663" w:rsidRDefault="008F1663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1663" w:rsidRDefault="008F1663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1663" w:rsidRDefault="008F1663" w:rsidP="00C414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86671" w:rsidRPr="00386671" w:rsidRDefault="00386671" w:rsidP="00386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AC" w:rsidRPr="00E807BA" w:rsidTr="00E9147A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EAC" w:rsidRPr="00A97EAC" w:rsidRDefault="00A97EAC" w:rsidP="00E42E43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97EAC">
              <w:rPr>
                <w:rFonts w:ascii="Arial" w:hAnsi="Arial" w:cs="Arial"/>
                <w:b/>
                <w:sz w:val="26"/>
                <w:szCs w:val="26"/>
                <w:u w:val="single"/>
              </w:rPr>
              <w:lastRenderedPageBreak/>
              <w:t>Key Texts and/or other learning materials</w:t>
            </w:r>
          </w:p>
        </w:tc>
      </w:tr>
      <w:tr w:rsidR="00E42E43" w:rsidRPr="00E807BA" w:rsidTr="00BC4B2E">
        <w:trPr>
          <w:cantSplit/>
        </w:trPr>
        <w:tc>
          <w:tcPr>
            <w:tcW w:w="10456" w:type="dxa"/>
            <w:gridSpan w:val="4"/>
            <w:shd w:val="clear" w:color="auto" w:fill="auto"/>
          </w:tcPr>
          <w:p w:rsidR="002366E1" w:rsidRPr="002366E1" w:rsidRDefault="002366E1" w:rsidP="002366E1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4D8" w:rsidRPr="000724D8" w:rsidRDefault="000724D8" w:rsidP="0074139A">
            <w:pPr>
              <w:pStyle w:val="ListParagraph"/>
              <w:spacing w:after="12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724D8">
              <w:rPr>
                <w:rFonts w:ascii="Arial" w:hAnsi="Arial" w:cs="Arial"/>
                <w:b/>
                <w:sz w:val="20"/>
                <w:szCs w:val="20"/>
              </w:rPr>
              <w:t>Key texts:</w:t>
            </w:r>
          </w:p>
          <w:p w:rsidR="00F35333" w:rsidRPr="00F35333" w:rsidRDefault="00F35333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66E1">
              <w:rPr>
                <w:rFonts w:ascii="Arial" w:hAnsi="Arial" w:cs="Arial"/>
                <w:sz w:val="20"/>
                <w:szCs w:val="20"/>
              </w:rPr>
              <w:t>Schaffer,</w:t>
            </w:r>
            <w:r>
              <w:rPr>
                <w:rFonts w:ascii="Arial" w:hAnsi="Arial" w:cs="Arial"/>
                <w:sz w:val="20"/>
                <w:szCs w:val="20"/>
              </w:rPr>
              <w:t xml:space="preserve"> R.,</w:t>
            </w:r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66E1">
              <w:rPr>
                <w:rFonts w:ascii="Arial" w:hAnsi="Arial" w:cs="Arial"/>
                <w:sz w:val="20"/>
                <w:szCs w:val="20"/>
              </w:rPr>
              <w:t>Augusti</w:t>
            </w:r>
            <w:proofErr w:type="spellEnd"/>
            <w:r w:rsidRPr="002366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F.,</w:t>
            </w:r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Dhooge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L. J. and </w:t>
            </w:r>
            <w:r w:rsidRPr="002366E1">
              <w:rPr>
                <w:rFonts w:ascii="Arial" w:hAnsi="Arial" w:cs="Arial"/>
                <w:sz w:val="20"/>
                <w:szCs w:val="20"/>
              </w:rPr>
              <w:t>Earle</w:t>
            </w:r>
            <w:r>
              <w:rPr>
                <w:rFonts w:ascii="Arial" w:hAnsi="Arial" w:cs="Arial"/>
                <w:sz w:val="20"/>
                <w:szCs w:val="20"/>
              </w:rPr>
              <w:t>, B.</w:t>
            </w:r>
            <w:r w:rsidRPr="002366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2011.</w:t>
            </w:r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333">
              <w:rPr>
                <w:rFonts w:ascii="Arial" w:hAnsi="Arial" w:cs="Arial"/>
                <w:i/>
                <w:sz w:val="20"/>
                <w:szCs w:val="20"/>
              </w:rPr>
              <w:t>International Business Law and its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3533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 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Mason: </w:t>
            </w:r>
            <w:r w:rsidRPr="002366E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outh Western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Cengage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Learning.</w:t>
            </w:r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139A" w:rsidRDefault="00F35333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Murray, C., Holloway, D.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-Hunt, D., 2012. </w:t>
            </w:r>
            <w:proofErr w:type="spellStart"/>
            <w:r w:rsidRPr="00F35333">
              <w:rPr>
                <w:rFonts w:ascii="Arial" w:hAnsi="Arial" w:cs="Arial"/>
                <w:i/>
                <w:sz w:val="20"/>
                <w:szCs w:val="20"/>
              </w:rPr>
              <w:t>Schmitthoff's</w:t>
            </w:r>
            <w:proofErr w:type="spellEnd"/>
            <w:r w:rsidRPr="00F35333">
              <w:rPr>
                <w:rFonts w:ascii="Arial" w:hAnsi="Arial" w:cs="Arial"/>
                <w:i/>
                <w:sz w:val="20"/>
                <w:szCs w:val="20"/>
              </w:rPr>
              <w:t xml:space="preserve"> Export</w:t>
            </w:r>
            <w:r w:rsidR="003866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35333">
              <w:rPr>
                <w:rFonts w:ascii="Arial" w:hAnsi="Arial" w:cs="Arial"/>
                <w:i/>
                <w:sz w:val="20"/>
                <w:szCs w:val="20"/>
              </w:rPr>
              <w:t>Trade</w:t>
            </w:r>
            <w:r w:rsidR="002366E1" w:rsidRPr="00F35333">
              <w:rPr>
                <w:rFonts w:ascii="Arial" w:hAnsi="Arial" w:cs="Arial"/>
                <w:i/>
                <w:sz w:val="20"/>
                <w:szCs w:val="20"/>
              </w:rPr>
              <w:t xml:space="preserve">: The Law and </w:t>
            </w:r>
            <w:r w:rsidRPr="00F35333">
              <w:rPr>
                <w:rFonts w:ascii="Arial" w:hAnsi="Arial" w:cs="Arial"/>
                <w:i/>
                <w:sz w:val="20"/>
                <w:szCs w:val="20"/>
              </w:rPr>
              <w:t>Practice of International Trade.</w:t>
            </w:r>
            <w:r w:rsidR="002366E1"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3533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ed. London: </w:t>
            </w:r>
            <w:r w:rsidR="002366E1" w:rsidRPr="002366E1">
              <w:rPr>
                <w:rFonts w:ascii="Arial" w:hAnsi="Arial" w:cs="Arial"/>
                <w:sz w:val="20"/>
                <w:szCs w:val="20"/>
              </w:rPr>
              <w:t>Sweet and Maxwell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139A" w:rsidRDefault="0074139A" w:rsidP="0074139A">
            <w:pPr>
              <w:pStyle w:val="ListParagraph"/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74139A" w:rsidRPr="0074139A" w:rsidRDefault="000724D8" w:rsidP="0074139A">
            <w:pPr>
              <w:pStyle w:val="ListParagraph"/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b/>
                <w:sz w:val="20"/>
                <w:szCs w:val="20"/>
              </w:rPr>
              <w:t>Other learning materials:</w:t>
            </w:r>
          </w:p>
          <w:p w:rsidR="00FA7B0D" w:rsidRDefault="00412583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 xml:space="preserve">Folsom, R.H., Gordon, M.W. and </w:t>
            </w:r>
            <w:proofErr w:type="spellStart"/>
            <w:r w:rsidRPr="0074139A">
              <w:rPr>
                <w:rFonts w:ascii="Arial" w:hAnsi="Arial" w:cs="Arial"/>
                <w:sz w:val="20"/>
                <w:szCs w:val="20"/>
              </w:rPr>
              <w:t>Spanogle</w:t>
            </w:r>
            <w:proofErr w:type="spellEnd"/>
            <w:r w:rsidRPr="0074139A">
              <w:rPr>
                <w:rFonts w:ascii="Arial" w:hAnsi="Arial" w:cs="Arial"/>
                <w:sz w:val="20"/>
                <w:szCs w:val="20"/>
              </w:rPr>
              <w:t xml:space="preserve">, J.A., 2010. </w:t>
            </w:r>
            <w:r w:rsidRPr="0074139A">
              <w:rPr>
                <w:rFonts w:ascii="Arial" w:hAnsi="Arial" w:cs="Arial"/>
                <w:i/>
                <w:sz w:val="20"/>
                <w:szCs w:val="20"/>
              </w:rPr>
              <w:t>Principles of International Business Transactions.</w:t>
            </w:r>
            <w:r w:rsidRPr="007413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139A" w:rsidRPr="0074139A" w:rsidRDefault="00412583" w:rsidP="00FA7B0D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139A">
              <w:rPr>
                <w:rFonts w:ascii="Arial" w:hAnsi="Arial" w:cs="Arial"/>
                <w:sz w:val="20"/>
                <w:szCs w:val="20"/>
              </w:rPr>
              <w:t>2</w:t>
            </w:r>
            <w:r w:rsidRPr="0074139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4139A">
              <w:rPr>
                <w:rFonts w:ascii="Arial" w:hAnsi="Arial" w:cs="Arial"/>
                <w:sz w:val="20"/>
                <w:szCs w:val="20"/>
              </w:rPr>
              <w:t xml:space="preserve"> ed. St. Paul: West.</w:t>
            </w:r>
          </w:p>
          <w:p w:rsidR="00412583" w:rsidRPr="0074139A" w:rsidRDefault="00412583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39A">
              <w:rPr>
                <w:rFonts w:ascii="Arial" w:hAnsi="Arial" w:cs="Arial"/>
                <w:sz w:val="20"/>
                <w:szCs w:val="20"/>
              </w:rPr>
              <w:t>Casenote</w:t>
            </w:r>
            <w:proofErr w:type="spellEnd"/>
            <w:r w:rsidRPr="0074139A">
              <w:rPr>
                <w:rFonts w:ascii="Arial" w:hAnsi="Arial" w:cs="Arial"/>
                <w:sz w:val="20"/>
                <w:szCs w:val="20"/>
              </w:rPr>
              <w:t xml:space="preserve"> Legal Briefs</w:t>
            </w:r>
            <w:r w:rsidR="0074139A" w:rsidRPr="0074139A">
              <w:rPr>
                <w:rFonts w:ascii="Arial" w:hAnsi="Arial" w:cs="Arial"/>
                <w:sz w:val="20"/>
                <w:szCs w:val="20"/>
              </w:rPr>
              <w:t xml:space="preserve">, 2010. </w:t>
            </w:r>
            <w:r w:rsidR="0074139A" w:rsidRPr="0074139A">
              <w:rPr>
                <w:rFonts w:ascii="Arial" w:hAnsi="Arial" w:cs="Arial"/>
                <w:i/>
                <w:sz w:val="20"/>
                <w:szCs w:val="20"/>
              </w:rPr>
              <w:t>International Business Transactions.</w:t>
            </w:r>
            <w:r w:rsidR="0074139A" w:rsidRPr="0074139A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74139A" w:rsidRPr="0074139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4139A" w:rsidRPr="007413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4139A" w:rsidRPr="0074139A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="0074139A" w:rsidRPr="0074139A">
              <w:rPr>
                <w:rFonts w:ascii="Arial" w:hAnsi="Arial" w:cs="Arial"/>
                <w:sz w:val="20"/>
                <w:szCs w:val="20"/>
              </w:rPr>
              <w:t>. New York: Aspen Publishers.</w:t>
            </w:r>
          </w:p>
          <w:p w:rsidR="002366E1" w:rsidRPr="002366E1" w:rsidRDefault="00F35333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Trifković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al., 2009.</w:t>
            </w:r>
            <w:r w:rsidR="002366E1"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66E1" w:rsidRPr="00F35333">
              <w:rPr>
                <w:rFonts w:ascii="Arial" w:hAnsi="Arial" w:cs="Arial"/>
                <w:i/>
                <w:sz w:val="20"/>
                <w:szCs w:val="20"/>
              </w:rPr>
              <w:t>Medjunarodno</w:t>
            </w:r>
            <w:proofErr w:type="spellEnd"/>
            <w:r w:rsidR="002366E1" w:rsidRPr="00F353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366E1" w:rsidRPr="00F35333">
              <w:rPr>
                <w:rFonts w:ascii="Arial" w:hAnsi="Arial" w:cs="Arial"/>
                <w:i/>
                <w:sz w:val="20"/>
                <w:szCs w:val="20"/>
              </w:rPr>
              <w:t>poslovno</w:t>
            </w:r>
            <w:proofErr w:type="spellEnd"/>
            <w:r w:rsidR="002366E1" w:rsidRPr="00F353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366E1" w:rsidRPr="00F35333">
              <w:rPr>
                <w:rFonts w:ascii="Arial" w:hAnsi="Arial" w:cs="Arial"/>
                <w:i/>
                <w:sz w:val="20"/>
                <w:szCs w:val="20"/>
              </w:rPr>
              <w:t>pravo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Sarajevo:</w:t>
            </w:r>
            <w:r w:rsidR="002366E1"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66E1" w:rsidRPr="002366E1">
              <w:rPr>
                <w:rFonts w:ascii="Arial" w:hAnsi="Arial" w:cs="Arial"/>
                <w:sz w:val="20"/>
                <w:szCs w:val="20"/>
              </w:rPr>
              <w:t>Ekonomski</w:t>
            </w:r>
            <w:proofErr w:type="spellEnd"/>
            <w:r w:rsidR="002366E1"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66E1" w:rsidRPr="002366E1">
              <w:rPr>
                <w:rFonts w:ascii="Arial" w:hAnsi="Arial" w:cs="Arial"/>
                <w:sz w:val="20"/>
                <w:szCs w:val="20"/>
              </w:rPr>
              <w:t>fakultet</w:t>
            </w:r>
            <w:proofErr w:type="spellEnd"/>
            <w:r w:rsidR="002366E1" w:rsidRPr="002366E1">
              <w:rPr>
                <w:rFonts w:ascii="Arial" w:hAnsi="Arial" w:cs="Arial"/>
                <w:sz w:val="20"/>
                <w:szCs w:val="20"/>
              </w:rPr>
              <w:t xml:space="preserve"> Sarajevo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366E1"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24D8" w:rsidRPr="00D378A6" w:rsidRDefault="002366E1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2366E1">
              <w:rPr>
                <w:rFonts w:ascii="Arial" w:hAnsi="Arial" w:cs="Arial"/>
                <w:sz w:val="20"/>
                <w:szCs w:val="20"/>
              </w:rPr>
              <w:t>Milos</w:t>
            </w:r>
            <w:proofErr w:type="spellEnd"/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66E1">
              <w:rPr>
                <w:rFonts w:ascii="Arial" w:hAnsi="Arial" w:cs="Arial"/>
                <w:sz w:val="20"/>
                <w:szCs w:val="20"/>
              </w:rPr>
              <w:t>Trifković</w:t>
            </w:r>
            <w:proofErr w:type="spellEnd"/>
            <w:r w:rsidRPr="002366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35333">
              <w:rPr>
                <w:rFonts w:ascii="Arial" w:hAnsi="Arial" w:cs="Arial"/>
                <w:sz w:val="20"/>
                <w:szCs w:val="20"/>
              </w:rPr>
              <w:t xml:space="preserve">2001. </w:t>
            </w:r>
            <w:proofErr w:type="spellStart"/>
            <w:r w:rsidR="00F35333" w:rsidRPr="00F35333">
              <w:rPr>
                <w:rFonts w:ascii="Arial" w:hAnsi="Arial" w:cs="Arial"/>
                <w:i/>
                <w:sz w:val="20"/>
                <w:szCs w:val="20"/>
              </w:rPr>
              <w:t>Medjunarodno</w:t>
            </w:r>
            <w:proofErr w:type="spellEnd"/>
            <w:r w:rsidR="00F35333" w:rsidRPr="00F353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35333" w:rsidRPr="00F35333">
              <w:rPr>
                <w:rFonts w:ascii="Arial" w:hAnsi="Arial" w:cs="Arial"/>
                <w:i/>
                <w:sz w:val="20"/>
                <w:szCs w:val="20"/>
              </w:rPr>
              <w:t>poslovno</w:t>
            </w:r>
            <w:proofErr w:type="spellEnd"/>
            <w:r w:rsidR="00F35333" w:rsidRPr="00F353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35333" w:rsidRPr="00F35333">
              <w:rPr>
                <w:rFonts w:ascii="Arial" w:hAnsi="Arial" w:cs="Arial"/>
                <w:i/>
                <w:sz w:val="20"/>
                <w:szCs w:val="20"/>
              </w:rPr>
              <w:t>pravo</w:t>
            </w:r>
            <w:proofErr w:type="spellEnd"/>
            <w:r w:rsidR="00F35333" w:rsidRPr="00F3533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36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5333" w:rsidRPr="00D378A6">
              <w:rPr>
                <w:rFonts w:ascii="Arial" w:hAnsi="Arial" w:cs="Arial"/>
                <w:sz w:val="20"/>
                <w:szCs w:val="20"/>
                <w:lang w:val="de-DE"/>
              </w:rPr>
              <w:t xml:space="preserve">Sarajevo: </w:t>
            </w:r>
            <w:r w:rsidRPr="00D378A6">
              <w:rPr>
                <w:rFonts w:ascii="Arial" w:hAnsi="Arial" w:cs="Arial"/>
                <w:sz w:val="20"/>
                <w:szCs w:val="20"/>
                <w:lang w:val="de-DE"/>
              </w:rPr>
              <w:t>Ekonomski fakultet Sarajevo</w:t>
            </w:r>
            <w:r w:rsidR="00F35333" w:rsidRPr="00D378A6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r w:rsidRPr="00D378A6">
              <w:rPr>
                <w:rFonts w:ascii="Arial" w:hAnsi="Arial" w:cs="Arial"/>
                <w:sz w:val="20"/>
                <w:szCs w:val="20"/>
                <w:lang w:val="de-DE"/>
              </w:rPr>
              <w:t xml:space="preserve">pp.459 </w:t>
            </w:r>
            <w:r w:rsidR="00F35333" w:rsidRPr="00D378A6">
              <w:rPr>
                <w:rFonts w:ascii="Arial" w:hAnsi="Arial" w:cs="Arial"/>
                <w:sz w:val="20"/>
                <w:szCs w:val="20"/>
                <w:lang w:val="de-DE"/>
              </w:rPr>
              <w:t>–</w:t>
            </w:r>
            <w:r w:rsidRPr="00D378A6">
              <w:rPr>
                <w:rFonts w:ascii="Arial" w:hAnsi="Arial" w:cs="Arial"/>
                <w:sz w:val="20"/>
                <w:szCs w:val="20"/>
                <w:lang w:val="de-DE"/>
              </w:rPr>
              <w:t xml:space="preserve"> 506</w:t>
            </w:r>
            <w:r w:rsidR="00F35333" w:rsidRPr="00D378A6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0724D8" w:rsidRDefault="000724D8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4D8">
              <w:rPr>
                <w:rFonts w:ascii="Arial" w:hAnsi="Arial" w:cs="Arial"/>
                <w:sz w:val="20"/>
                <w:szCs w:val="20"/>
              </w:rPr>
              <w:t>Shaw</w:t>
            </w:r>
            <w:proofErr w:type="gramStart"/>
            <w:r w:rsidRPr="000724D8">
              <w:rPr>
                <w:rFonts w:ascii="Arial" w:hAnsi="Arial" w:cs="Arial"/>
                <w:sz w:val="20"/>
                <w:szCs w:val="20"/>
              </w:rPr>
              <w:t>,M.N</w:t>
            </w:r>
            <w:proofErr w:type="spellEnd"/>
            <w:proofErr w:type="gramEnd"/>
            <w:r w:rsidRPr="000724D8">
              <w:rPr>
                <w:rFonts w:ascii="Arial" w:hAnsi="Arial" w:cs="Arial"/>
                <w:sz w:val="20"/>
                <w:szCs w:val="20"/>
              </w:rPr>
              <w:t xml:space="preserve">., 2008. </w:t>
            </w:r>
            <w:r w:rsidRPr="000724D8">
              <w:rPr>
                <w:rFonts w:ascii="Arial" w:hAnsi="Arial" w:cs="Arial"/>
                <w:i/>
                <w:sz w:val="20"/>
                <w:szCs w:val="20"/>
              </w:rPr>
              <w:t>International Law.</w:t>
            </w:r>
            <w:r w:rsidRPr="000724D8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0724D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24D8">
              <w:rPr>
                <w:rFonts w:ascii="Arial" w:hAnsi="Arial" w:cs="Arial"/>
                <w:sz w:val="20"/>
                <w:szCs w:val="20"/>
              </w:rPr>
              <w:t xml:space="preserve"> ed. Cambridge: Cambridge University Press. </w:t>
            </w:r>
          </w:p>
          <w:p w:rsidR="000724D8" w:rsidRPr="000724D8" w:rsidRDefault="000724D8" w:rsidP="0074139A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724D8">
              <w:rPr>
                <w:rFonts w:ascii="Arial" w:hAnsi="Arial" w:cs="Arial"/>
                <w:sz w:val="20"/>
                <w:szCs w:val="20"/>
              </w:rPr>
              <w:t xml:space="preserve">United Nations Commission on International Trade Law, 2012. </w:t>
            </w:r>
            <w:r w:rsidRPr="000724D8">
              <w:rPr>
                <w:rFonts w:ascii="Arial" w:hAnsi="Arial" w:cs="Arial"/>
                <w:i/>
                <w:sz w:val="20"/>
                <w:szCs w:val="20"/>
                <w:lang w:val="bs-Latn-BA" w:eastAsia="en-GB"/>
              </w:rPr>
              <w:t>Digest of Case Law on the United Nations Convention on Contracts for the International Sale of Goods.</w:t>
            </w:r>
            <w:r w:rsidRPr="000724D8">
              <w:rPr>
                <w:rFonts w:ascii="Arial" w:hAnsi="Arial" w:cs="Arial"/>
                <w:sz w:val="20"/>
                <w:szCs w:val="20"/>
                <w:lang w:val="bs-Latn-BA" w:eastAsia="en-GB"/>
              </w:rPr>
              <w:t xml:space="preserve"> (on-line)</w:t>
            </w:r>
            <w:r>
              <w:rPr>
                <w:rFonts w:ascii="Arial" w:hAnsi="Arial" w:cs="Arial"/>
                <w:sz w:val="20"/>
                <w:szCs w:val="20"/>
                <w:lang w:val="bs-Latn-BA" w:eastAsia="en-GB"/>
              </w:rPr>
              <w:t>.</w:t>
            </w:r>
            <w:r w:rsidRPr="000724D8">
              <w:rPr>
                <w:rFonts w:ascii="Arial" w:hAnsi="Arial" w:cs="Arial"/>
                <w:sz w:val="20"/>
                <w:szCs w:val="20"/>
                <w:lang w:val="bs-Latn-BA" w:eastAsia="en-GB"/>
              </w:rPr>
              <w:t xml:space="preserve"> Available at </w:t>
            </w:r>
            <w:hyperlink r:id="rId10" w:history="1">
              <w:r w:rsidRPr="000724D8">
                <w:rPr>
                  <w:rStyle w:val="Hyperlink"/>
                  <w:rFonts w:ascii="Arial" w:hAnsi="Arial" w:cs="Arial"/>
                  <w:sz w:val="20"/>
                  <w:szCs w:val="20"/>
                  <w:lang w:val="bs-Latn-BA" w:eastAsia="en-GB"/>
                </w:rPr>
                <w:t>http://www.uncitral.org/pdf/ english/clout/CISG-digest-2012-e.pdf</w:t>
              </w:r>
            </w:hyperlink>
            <w:r w:rsidRPr="000724D8">
              <w:rPr>
                <w:rFonts w:ascii="Arial" w:hAnsi="Arial" w:cs="Arial"/>
                <w:sz w:val="20"/>
                <w:szCs w:val="20"/>
                <w:lang w:val="bs-Latn-BA" w:eastAsia="en-GB"/>
              </w:rPr>
              <w:t xml:space="preserve"> (Accessed 15 July 2013)</w:t>
            </w:r>
          </w:p>
          <w:p w:rsidR="000724D8" w:rsidRPr="000724D8" w:rsidRDefault="000724D8" w:rsidP="000724D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37D" w:rsidRPr="00E807BA" w:rsidTr="00BC4B2E">
        <w:tc>
          <w:tcPr>
            <w:tcW w:w="10456" w:type="dxa"/>
            <w:gridSpan w:val="4"/>
          </w:tcPr>
          <w:p w:rsidR="00E807BA" w:rsidRPr="00BC4B2E" w:rsidRDefault="00A3537D" w:rsidP="00E807BA">
            <w:pPr>
              <w:rPr>
                <w:rFonts w:ascii="Arial" w:hAnsi="Arial" w:cs="Arial"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Please note: 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This specification provides a concise summary of the main features of the </w:t>
            </w:r>
            <w:r w:rsidR="00E42E43" w:rsidRPr="00BC4B2E">
              <w:rPr>
                <w:rFonts w:ascii="Arial" w:hAnsi="Arial" w:cs="Arial"/>
                <w:sz w:val="20"/>
                <w:szCs w:val="20"/>
              </w:rPr>
              <w:t>module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and the learning outcomes that a typical student might reasonably be expected to achieve and demonstrate if he/she takes full advantage of the learning opportunities that are provided.  More detailed information on the learning outcomes, content and teaching, learning and assessment methods of each </w:t>
            </w:r>
            <w:r w:rsidR="00E42E43" w:rsidRPr="00BC4B2E">
              <w:rPr>
                <w:rFonts w:ascii="Arial" w:hAnsi="Arial" w:cs="Arial"/>
                <w:sz w:val="20"/>
                <w:szCs w:val="20"/>
              </w:rPr>
              <w:t>module and programme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can be found in the departmental </w:t>
            </w:r>
            <w:r w:rsidR="00FF60B4" w:rsidRPr="00BC4B2E">
              <w:rPr>
                <w:rFonts w:ascii="Arial" w:hAnsi="Arial" w:cs="Arial"/>
                <w:sz w:val="20"/>
                <w:szCs w:val="20"/>
              </w:rPr>
              <w:t>or programme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handbook.  The accuracy of the information contained in this document is reviewed annually by </w:t>
            </w:r>
            <w:r w:rsidR="00E807BA" w:rsidRPr="00BC4B2E">
              <w:rPr>
                <w:rFonts w:ascii="Arial" w:hAnsi="Arial" w:cs="Arial"/>
                <w:sz w:val="20"/>
                <w:szCs w:val="20"/>
              </w:rPr>
              <w:t>the University of Buckingham</w:t>
            </w:r>
            <w:r w:rsidRPr="00BC4B2E">
              <w:rPr>
                <w:rFonts w:ascii="Arial" w:hAnsi="Arial" w:cs="Arial"/>
                <w:sz w:val="20"/>
                <w:szCs w:val="20"/>
              </w:rPr>
              <w:t xml:space="preserve"> and may be checked by the Quality Assurance Agency.</w:t>
            </w: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 Production:</w:t>
            </w:r>
          </w:p>
          <w:p w:rsidR="00A3537D" w:rsidRPr="00BC4B2E" w:rsidRDefault="00A3537D" w:rsidP="00FF7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BC4B2E" w:rsidRDefault="00A3537D" w:rsidP="00AA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Date approved by </w:t>
            </w:r>
            <w:r w:rsidR="00AA7E84" w:rsidRPr="00BC4B2E">
              <w:rPr>
                <w:rFonts w:ascii="Arial" w:hAnsi="Arial" w:cs="Arial"/>
                <w:b/>
                <w:sz w:val="20"/>
                <w:szCs w:val="20"/>
              </w:rPr>
              <w:t>School Learning and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Teaching Committee</w:t>
            </w:r>
          </w:p>
        </w:tc>
        <w:tc>
          <w:tcPr>
            <w:tcW w:w="7087" w:type="dxa"/>
            <w:gridSpan w:val="3"/>
          </w:tcPr>
          <w:p w:rsidR="00A3537D" w:rsidRPr="00E807BA" w:rsidRDefault="00A3537D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School Board of Study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University Learning and Teaching Committee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347" w:rsidRPr="00E807BA" w:rsidTr="00BC4B2E">
        <w:trPr>
          <w:cantSplit/>
        </w:trPr>
        <w:tc>
          <w:tcPr>
            <w:tcW w:w="3369" w:type="dxa"/>
          </w:tcPr>
          <w:p w:rsidR="00231347" w:rsidRPr="00BC4B2E" w:rsidRDefault="00231347" w:rsidP="00533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Annual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Review:</w:t>
            </w:r>
          </w:p>
          <w:p w:rsidR="00231347" w:rsidRPr="00BC4B2E" w:rsidRDefault="00231347" w:rsidP="00533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31347" w:rsidRPr="00E807BA" w:rsidRDefault="00231347" w:rsidP="005337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F81" w:rsidRDefault="00DF1F81" w:rsidP="0009429E">
      <w:pPr>
        <w:rPr>
          <w:rFonts w:ascii="Arial" w:hAnsi="Arial" w:cs="Arial"/>
          <w:b/>
          <w:sz w:val="32"/>
          <w:szCs w:val="32"/>
          <w:u w:val="single"/>
        </w:rPr>
      </w:pPr>
    </w:p>
    <w:sectPr w:rsidR="00DF1F81" w:rsidSect="00BC4B2E"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0D" w:rsidRDefault="00FA7B0D" w:rsidP="004830EC">
      <w:r>
        <w:separator/>
      </w:r>
    </w:p>
  </w:endnote>
  <w:endnote w:type="continuationSeparator" w:id="0">
    <w:p w:rsidR="00FA7B0D" w:rsidRDefault="00FA7B0D" w:rsidP="0048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0D" w:rsidRDefault="00FA7B0D" w:rsidP="004830EC">
      <w:r>
        <w:separator/>
      </w:r>
    </w:p>
  </w:footnote>
  <w:footnote w:type="continuationSeparator" w:id="0">
    <w:p w:rsidR="00FA7B0D" w:rsidRDefault="00FA7B0D" w:rsidP="0048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A94296"/>
    <w:multiLevelType w:val="hybridMultilevel"/>
    <w:tmpl w:val="16F4D696"/>
    <w:lvl w:ilvl="0" w:tplc="D44E2F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E4337"/>
    <w:multiLevelType w:val="hybridMultilevel"/>
    <w:tmpl w:val="B06E1478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2D7F47"/>
    <w:multiLevelType w:val="hybridMultilevel"/>
    <w:tmpl w:val="A708463C"/>
    <w:lvl w:ilvl="0" w:tplc="F2DED7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A1152"/>
    <w:multiLevelType w:val="hybridMultilevel"/>
    <w:tmpl w:val="45BED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C6CB0"/>
    <w:multiLevelType w:val="hybridMultilevel"/>
    <w:tmpl w:val="B06E1478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4E96F99"/>
    <w:multiLevelType w:val="hybridMultilevel"/>
    <w:tmpl w:val="14382680"/>
    <w:lvl w:ilvl="0" w:tplc="482E992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6156F"/>
    <w:multiLevelType w:val="hybridMultilevel"/>
    <w:tmpl w:val="CEDC56F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22A2E"/>
    <w:multiLevelType w:val="hybridMultilevel"/>
    <w:tmpl w:val="CB8C3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873E0"/>
    <w:multiLevelType w:val="hybridMultilevel"/>
    <w:tmpl w:val="45205ADC"/>
    <w:lvl w:ilvl="0" w:tplc="DF4E68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C46C2"/>
    <w:multiLevelType w:val="hybridMultilevel"/>
    <w:tmpl w:val="EBD6EE5E"/>
    <w:lvl w:ilvl="0" w:tplc="55E259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E2568"/>
    <w:multiLevelType w:val="hybridMultilevel"/>
    <w:tmpl w:val="072EC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E4890"/>
    <w:multiLevelType w:val="hybridMultilevel"/>
    <w:tmpl w:val="EC4CE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519C"/>
    <w:multiLevelType w:val="hybridMultilevel"/>
    <w:tmpl w:val="2B386B28"/>
    <w:lvl w:ilvl="0" w:tplc="4EBA9D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C824B9"/>
    <w:multiLevelType w:val="hybridMultilevel"/>
    <w:tmpl w:val="6930D8AC"/>
    <w:lvl w:ilvl="0" w:tplc="EDAC67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2327EE"/>
    <w:multiLevelType w:val="hybridMultilevel"/>
    <w:tmpl w:val="9238F9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1A2919"/>
    <w:multiLevelType w:val="hybridMultilevel"/>
    <w:tmpl w:val="A698C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B3ED9"/>
    <w:multiLevelType w:val="hybridMultilevel"/>
    <w:tmpl w:val="85C07ACE"/>
    <w:lvl w:ilvl="0" w:tplc="B43616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E417B3"/>
    <w:multiLevelType w:val="hybridMultilevel"/>
    <w:tmpl w:val="CB8C3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14568"/>
    <w:multiLevelType w:val="hybridMultilevel"/>
    <w:tmpl w:val="44E0B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9B4C13"/>
    <w:multiLevelType w:val="hybridMultilevel"/>
    <w:tmpl w:val="98403D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5E7866"/>
    <w:multiLevelType w:val="hybridMultilevel"/>
    <w:tmpl w:val="7F5C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B6B6E"/>
    <w:multiLevelType w:val="hybridMultilevel"/>
    <w:tmpl w:val="3920D3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94B6C"/>
    <w:multiLevelType w:val="hybridMultilevel"/>
    <w:tmpl w:val="18DE6334"/>
    <w:lvl w:ilvl="0" w:tplc="4C0239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E56F14"/>
    <w:multiLevelType w:val="hybridMultilevel"/>
    <w:tmpl w:val="34B4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93645"/>
    <w:multiLevelType w:val="hybridMultilevel"/>
    <w:tmpl w:val="85BACB38"/>
    <w:lvl w:ilvl="0" w:tplc="9766BCB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9"/>
  </w:num>
  <w:num w:numId="12">
    <w:abstractNumId w:val="5"/>
  </w:num>
  <w:num w:numId="13">
    <w:abstractNumId w:val="14"/>
  </w:num>
  <w:num w:numId="14">
    <w:abstractNumId w:val="19"/>
  </w:num>
  <w:num w:numId="15">
    <w:abstractNumId w:val="2"/>
  </w:num>
  <w:num w:numId="16">
    <w:abstractNumId w:val="16"/>
  </w:num>
  <w:num w:numId="17">
    <w:abstractNumId w:val="18"/>
  </w:num>
  <w:num w:numId="18">
    <w:abstractNumId w:val="23"/>
  </w:num>
  <w:num w:numId="19">
    <w:abstractNumId w:val="1"/>
  </w:num>
  <w:num w:numId="20">
    <w:abstractNumId w:val="22"/>
  </w:num>
  <w:num w:numId="21">
    <w:abstractNumId w:val="17"/>
  </w:num>
  <w:num w:numId="22">
    <w:abstractNumId w:val="3"/>
  </w:num>
  <w:num w:numId="23">
    <w:abstractNumId w:val="12"/>
  </w:num>
  <w:num w:numId="24">
    <w:abstractNumId w:val="15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7D"/>
    <w:rsid w:val="00021813"/>
    <w:rsid w:val="00023196"/>
    <w:rsid w:val="000251A4"/>
    <w:rsid w:val="00026F34"/>
    <w:rsid w:val="00042C07"/>
    <w:rsid w:val="00045A07"/>
    <w:rsid w:val="000724D8"/>
    <w:rsid w:val="0009429E"/>
    <w:rsid w:val="000A76D7"/>
    <w:rsid w:val="000E5647"/>
    <w:rsid w:val="000E5C1B"/>
    <w:rsid w:val="00175DC4"/>
    <w:rsid w:val="0019377D"/>
    <w:rsid w:val="00194E3F"/>
    <w:rsid w:val="001E2553"/>
    <w:rsid w:val="00212989"/>
    <w:rsid w:val="00216D8D"/>
    <w:rsid w:val="00231347"/>
    <w:rsid w:val="002366E1"/>
    <w:rsid w:val="002376A4"/>
    <w:rsid w:val="00260015"/>
    <w:rsid w:val="00270D85"/>
    <w:rsid w:val="0027395C"/>
    <w:rsid w:val="00282631"/>
    <w:rsid w:val="002D5BCF"/>
    <w:rsid w:val="002F5614"/>
    <w:rsid w:val="002F79A0"/>
    <w:rsid w:val="003061C7"/>
    <w:rsid w:val="00321178"/>
    <w:rsid w:val="00357952"/>
    <w:rsid w:val="00384B5E"/>
    <w:rsid w:val="00386671"/>
    <w:rsid w:val="00391038"/>
    <w:rsid w:val="003A287B"/>
    <w:rsid w:val="003A4BF2"/>
    <w:rsid w:val="003B7553"/>
    <w:rsid w:val="003C748E"/>
    <w:rsid w:val="003D08F4"/>
    <w:rsid w:val="004050EF"/>
    <w:rsid w:val="00405B92"/>
    <w:rsid w:val="00412583"/>
    <w:rsid w:val="004179DF"/>
    <w:rsid w:val="004406F4"/>
    <w:rsid w:val="00440F2F"/>
    <w:rsid w:val="00447F34"/>
    <w:rsid w:val="00470AFB"/>
    <w:rsid w:val="004830EC"/>
    <w:rsid w:val="004846ED"/>
    <w:rsid w:val="00484DEB"/>
    <w:rsid w:val="004A2290"/>
    <w:rsid w:val="004A2C11"/>
    <w:rsid w:val="004B06BC"/>
    <w:rsid w:val="004E058D"/>
    <w:rsid w:val="00500E8F"/>
    <w:rsid w:val="005057B5"/>
    <w:rsid w:val="00533763"/>
    <w:rsid w:val="00547595"/>
    <w:rsid w:val="00551413"/>
    <w:rsid w:val="0056521B"/>
    <w:rsid w:val="00593547"/>
    <w:rsid w:val="005C13B7"/>
    <w:rsid w:val="005D373A"/>
    <w:rsid w:val="005E2096"/>
    <w:rsid w:val="005E24DB"/>
    <w:rsid w:val="005E5FC1"/>
    <w:rsid w:val="0063642F"/>
    <w:rsid w:val="0066402B"/>
    <w:rsid w:val="0067135F"/>
    <w:rsid w:val="00671F49"/>
    <w:rsid w:val="00695C6A"/>
    <w:rsid w:val="006E17D5"/>
    <w:rsid w:val="006F0A55"/>
    <w:rsid w:val="0074139A"/>
    <w:rsid w:val="0075252F"/>
    <w:rsid w:val="00761B7E"/>
    <w:rsid w:val="00787F4D"/>
    <w:rsid w:val="00795860"/>
    <w:rsid w:val="008102D6"/>
    <w:rsid w:val="0083193F"/>
    <w:rsid w:val="0085730F"/>
    <w:rsid w:val="00873C01"/>
    <w:rsid w:val="00896DFA"/>
    <w:rsid w:val="008B28C9"/>
    <w:rsid w:val="008B64AB"/>
    <w:rsid w:val="008C231D"/>
    <w:rsid w:val="008F1663"/>
    <w:rsid w:val="008F2C4B"/>
    <w:rsid w:val="009003EB"/>
    <w:rsid w:val="00914675"/>
    <w:rsid w:val="00915E6A"/>
    <w:rsid w:val="00920E53"/>
    <w:rsid w:val="00965485"/>
    <w:rsid w:val="009C101F"/>
    <w:rsid w:val="009D0D3F"/>
    <w:rsid w:val="00A00F35"/>
    <w:rsid w:val="00A1609B"/>
    <w:rsid w:val="00A278C0"/>
    <w:rsid w:val="00A3537D"/>
    <w:rsid w:val="00A35827"/>
    <w:rsid w:val="00A41A1A"/>
    <w:rsid w:val="00A47151"/>
    <w:rsid w:val="00A8510F"/>
    <w:rsid w:val="00A97EAC"/>
    <w:rsid w:val="00AA6F2F"/>
    <w:rsid w:val="00AA7E84"/>
    <w:rsid w:val="00AE113A"/>
    <w:rsid w:val="00AE69B4"/>
    <w:rsid w:val="00AE6F04"/>
    <w:rsid w:val="00AF5316"/>
    <w:rsid w:val="00B06081"/>
    <w:rsid w:val="00B33AF9"/>
    <w:rsid w:val="00B76E39"/>
    <w:rsid w:val="00B824CF"/>
    <w:rsid w:val="00BB01BB"/>
    <w:rsid w:val="00BB2966"/>
    <w:rsid w:val="00BB6763"/>
    <w:rsid w:val="00BC4B2E"/>
    <w:rsid w:val="00BF1EF5"/>
    <w:rsid w:val="00BF3895"/>
    <w:rsid w:val="00C02051"/>
    <w:rsid w:val="00C414E8"/>
    <w:rsid w:val="00C41902"/>
    <w:rsid w:val="00C65D06"/>
    <w:rsid w:val="00C77470"/>
    <w:rsid w:val="00D023CA"/>
    <w:rsid w:val="00D172F5"/>
    <w:rsid w:val="00D21B9C"/>
    <w:rsid w:val="00D23956"/>
    <w:rsid w:val="00D30920"/>
    <w:rsid w:val="00D31968"/>
    <w:rsid w:val="00D32B5E"/>
    <w:rsid w:val="00D378A6"/>
    <w:rsid w:val="00DA1590"/>
    <w:rsid w:val="00DD60F0"/>
    <w:rsid w:val="00DF1CE5"/>
    <w:rsid w:val="00DF1F81"/>
    <w:rsid w:val="00E05CEE"/>
    <w:rsid w:val="00E10F77"/>
    <w:rsid w:val="00E263B0"/>
    <w:rsid w:val="00E42E43"/>
    <w:rsid w:val="00E807BA"/>
    <w:rsid w:val="00E9147A"/>
    <w:rsid w:val="00EB2C89"/>
    <w:rsid w:val="00EC03EE"/>
    <w:rsid w:val="00EF7281"/>
    <w:rsid w:val="00F20E21"/>
    <w:rsid w:val="00F27FCA"/>
    <w:rsid w:val="00F35333"/>
    <w:rsid w:val="00F53DB6"/>
    <w:rsid w:val="00F756C9"/>
    <w:rsid w:val="00F97677"/>
    <w:rsid w:val="00FA53BA"/>
    <w:rsid w:val="00FA7B0D"/>
    <w:rsid w:val="00FC2CB2"/>
    <w:rsid w:val="00FD521B"/>
    <w:rsid w:val="00FE0A8F"/>
    <w:rsid w:val="00FF60B4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C13B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5C13B7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3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3B7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24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C13B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5C13B7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3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3B7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24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citral.org/pdf/%20english/clout/CISG-digest-2012-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032C-CFAA-4A51-87C4-5E5EAB5F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1281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Buckingham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pearl.lewis</dc:creator>
  <cp:lastModifiedBy>Anonymous</cp:lastModifiedBy>
  <cp:revision>10</cp:revision>
  <cp:lastPrinted>2013-02-21T15:16:00Z</cp:lastPrinted>
  <dcterms:created xsi:type="dcterms:W3CDTF">2013-10-01T11:55:00Z</dcterms:created>
  <dcterms:modified xsi:type="dcterms:W3CDTF">2014-01-10T15:53:00Z</dcterms:modified>
</cp:coreProperties>
</file>