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09"/>
        <w:gridCol w:w="6594"/>
      </w:tblGrid>
      <w:tr w:rsidR="00C07599" w:rsidRPr="009C6697" w14:paraId="0C93550D" w14:textId="77777777" w:rsidTr="00C07599">
        <w:trPr>
          <w:trHeight w:val="340"/>
        </w:trPr>
        <w:tc>
          <w:tcPr>
            <w:tcW w:w="1366" w:type="pct"/>
            <w:gridSpan w:val="2"/>
            <w:shd w:val="clear" w:color="auto" w:fill="auto"/>
            <w:vAlign w:val="center"/>
          </w:tcPr>
          <w:p w14:paraId="0F487914" w14:textId="5220CB6C" w:rsidR="00C07599" w:rsidRPr="009C6697" w:rsidRDefault="009C6697" w:rsidP="00C07599">
            <w:pPr>
              <w:rPr>
                <w:rFonts w:cstheme="minorHAnsi"/>
                <w:b/>
                <w:lang w:val="en-GB"/>
              </w:rPr>
            </w:pPr>
            <w:r w:rsidRPr="009C6697">
              <w:rPr>
                <w:rFonts w:cstheme="minorHAnsi"/>
                <w:b/>
                <w:lang w:val="en-GB"/>
              </w:rPr>
              <w:t>PERSONAL INFORMATION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A59A81D" w14:textId="77777777" w:rsidR="00C07599" w:rsidRPr="009C6697" w:rsidRDefault="00DC7CC8" w:rsidP="00C07599">
            <w:pPr>
              <w:rPr>
                <w:rFonts w:cstheme="minorHAnsi"/>
                <w:sz w:val="24"/>
                <w:lang w:val="en-GB"/>
              </w:rPr>
            </w:pPr>
            <w:r w:rsidRPr="009C6697">
              <w:rPr>
                <w:rFonts w:cstheme="minorHAnsi"/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10E9430F" wp14:editId="5FBE4953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-351155</wp:posOffset>
                  </wp:positionV>
                  <wp:extent cx="1014095" cy="13614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esjoguncic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599" w:rsidRPr="009C6697">
              <w:rPr>
                <w:rFonts w:cstheme="minorHAnsi"/>
                <w:sz w:val="24"/>
                <w:lang w:val="en-GB"/>
              </w:rPr>
              <w:t>Jogunčić Anes</w:t>
            </w:r>
          </w:p>
        </w:tc>
      </w:tr>
      <w:tr w:rsidR="00C07599" w:rsidRPr="009C6697" w14:paraId="2F118354" w14:textId="77777777" w:rsidTr="00C07599">
        <w:trPr>
          <w:trHeight w:hRule="exact" w:val="227"/>
        </w:trPr>
        <w:tc>
          <w:tcPr>
            <w:tcW w:w="5000" w:type="pct"/>
            <w:gridSpan w:val="3"/>
            <w:shd w:val="clear" w:color="auto" w:fill="auto"/>
          </w:tcPr>
          <w:p w14:paraId="0B329883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</w:tr>
      <w:tr w:rsidR="00C07599" w:rsidRPr="009C6697" w14:paraId="5BFC8A92" w14:textId="77777777" w:rsidTr="00C07599">
        <w:trPr>
          <w:trHeight w:val="340"/>
        </w:trPr>
        <w:tc>
          <w:tcPr>
            <w:tcW w:w="1366" w:type="pct"/>
            <w:gridSpan w:val="2"/>
            <w:vMerge w:val="restart"/>
            <w:shd w:val="clear" w:color="auto" w:fill="auto"/>
          </w:tcPr>
          <w:p w14:paraId="4DE7E7A9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  <w:tc>
          <w:tcPr>
            <w:tcW w:w="3634" w:type="pct"/>
            <w:shd w:val="clear" w:color="auto" w:fill="auto"/>
          </w:tcPr>
          <w:p w14:paraId="54AF166F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noProof/>
                <w:lang w:val="en-GB"/>
              </w:rPr>
              <w:drawing>
                <wp:anchor distT="0" distB="0" distL="0" distR="71755" simplePos="0" relativeHeight="251659264" behindDoc="0" locked="0" layoutInCell="1" allowOverlap="1" wp14:anchorId="220FDBCE" wp14:editId="557041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C7CC8" w:rsidRPr="009C6697">
              <w:rPr>
                <w:rFonts w:cstheme="minorHAnsi"/>
                <w:lang w:val="en-GB"/>
              </w:rPr>
              <w:t>Trg</w:t>
            </w:r>
            <w:proofErr w:type="spellEnd"/>
            <w:r w:rsidR="00DC7CC8"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C7CC8" w:rsidRPr="009C6697">
              <w:rPr>
                <w:rFonts w:cstheme="minorHAnsi"/>
                <w:lang w:val="en-GB"/>
              </w:rPr>
              <w:t>Barcelone</w:t>
            </w:r>
            <w:proofErr w:type="spellEnd"/>
            <w:r w:rsidR="00DC7CC8" w:rsidRPr="009C6697">
              <w:rPr>
                <w:rFonts w:cstheme="minorHAnsi"/>
                <w:lang w:val="en-GB"/>
              </w:rPr>
              <w:t xml:space="preserve"> 4</w:t>
            </w:r>
            <w:r w:rsidRPr="009C6697">
              <w:rPr>
                <w:rFonts w:cstheme="minorHAnsi"/>
                <w:lang w:val="en-GB"/>
              </w:rPr>
              <w:t xml:space="preserve">, </w:t>
            </w:r>
            <w:r w:rsidR="00DC7CC8" w:rsidRPr="009C6697">
              <w:rPr>
                <w:rFonts w:cstheme="minorHAnsi"/>
                <w:lang w:val="en-GB"/>
              </w:rPr>
              <w:br/>
              <w:t xml:space="preserve">       </w:t>
            </w:r>
            <w:r w:rsidRPr="009C6697">
              <w:rPr>
                <w:rFonts w:cstheme="minorHAnsi"/>
                <w:lang w:val="en-GB"/>
              </w:rPr>
              <w:t xml:space="preserve">71000 Sarajevo (Bosna </w:t>
            </w:r>
            <w:proofErr w:type="spellStart"/>
            <w:r w:rsidRPr="009C6697">
              <w:rPr>
                <w:rFonts w:cstheme="minorHAnsi"/>
                <w:lang w:val="en-GB"/>
              </w:rPr>
              <w:t>i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Hercegovina) </w:t>
            </w:r>
          </w:p>
        </w:tc>
      </w:tr>
      <w:tr w:rsidR="00C07599" w:rsidRPr="009C6697" w14:paraId="5C730AD4" w14:textId="77777777" w:rsidTr="00C07599">
        <w:trPr>
          <w:trHeight w:val="340"/>
        </w:trPr>
        <w:tc>
          <w:tcPr>
            <w:tcW w:w="1366" w:type="pct"/>
            <w:gridSpan w:val="2"/>
            <w:vMerge/>
            <w:shd w:val="clear" w:color="auto" w:fill="auto"/>
          </w:tcPr>
          <w:p w14:paraId="025CF29D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  <w:tc>
          <w:tcPr>
            <w:tcW w:w="3634" w:type="pct"/>
            <w:shd w:val="clear" w:color="auto" w:fill="auto"/>
          </w:tcPr>
          <w:p w14:paraId="42D40FE8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noProof/>
                <w:lang w:val="en-GB"/>
              </w:rPr>
              <w:drawing>
                <wp:anchor distT="0" distB="0" distL="0" distR="71755" simplePos="0" relativeHeight="251661312" behindDoc="0" locked="0" layoutInCell="1" allowOverlap="1" wp14:anchorId="4E9A539B" wp14:editId="118649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697">
              <w:rPr>
                <w:rFonts w:cstheme="minorHAnsi"/>
                <w:lang w:val="en-GB"/>
              </w:rPr>
              <w:t xml:space="preserve"> +387 61 364035    </w:t>
            </w:r>
          </w:p>
        </w:tc>
      </w:tr>
      <w:tr w:rsidR="00C07599" w:rsidRPr="009C6697" w14:paraId="43C0749B" w14:textId="77777777" w:rsidTr="00C07599">
        <w:trPr>
          <w:trHeight w:val="340"/>
        </w:trPr>
        <w:tc>
          <w:tcPr>
            <w:tcW w:w="1366" w:type="pct"/>
            <w:gridSpan w:val="2"/>
            <w:vMerge/>
            <w:shd w:val="clear" w:color="auto" w:fill="auto"/>
          </w:tcPr>
          <w:p w14:paraId="447345CD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15499AB3" w14:textId="05BAE68C" w:rsidR="00C07599" w:rsidRPr="009C6697" w:rsidRDefault="00C07599" w:rsidP="002065EF">
            <w:p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noProof/>
                <w:lang w:val="en-GB"/>
              </w:rPr>
              <w:drawing>
                <wp:anchor distT="0" distB="0" distL="0" distR="71755" simplePos="0" relativeHeight="251660288" behindDoc="0" locked="0" layoutInCell="1" allowOverlap="1" wp14:anchorId="67B45A29" wp14:editId="0CF3CF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697">
              <w:rPr>
                <w:rFonts w:cstheme="minorHAnsi"/>
                <w:lang w:val="en-GB"/>
              </w:rPr>
              <w:t xml:space="preserve"> </w:t>
            </w:r>
            <w:hyperlink r:id="rId13" w:history="1">
              <w:r w:rsidR="00DC7CC8" w:rsidRPr="009C6697">
                <w:rPr>
                  <w:rStyle w:val="Hyperlink"/>
                  <w:rFonts w:cstheme="minorHAnsi"/>
                  <w:lang w:val="en-GB"/>
                </w:rPr>
                <w:t>anesjoguncic@outlook.com</w:t>
              </w:r>
            </w:hyperlink>
            <w:r w:rsidR="00DC7CC8" w:rsidRPr="009C6697">
              <w:rPr>
                <w:rFonts w:cstheme="minorHAnsi"/>
                <w:lang w:val="en-GB"/>
              </w:rPr>
              <w:t xml:space="preserve">, </w:t>
            </w:r>
          </w:p>
        </w:tc>
      </w:tr>
      <w:tr w:rsidR="00C07599" w:rsidRPr="009C6697" w14:paraId="39E71394" w14:textId="77777777" w:rsidTr="00DC7CC8">
        <w:trPr>
          <w:trHeight w:val="170"/>
        </w:trPr>
        <w:tc>
          <w:tcPr>
            <w:tcW w:w="1251" w:type="pct"/>
            <w:shd w:val="clear" w:color="auto" w:fill="auto"/>
          </w:tcPr>
          <w:p w14:paraId="49464543" w14:textId="6C637509" w:rsidR="00C07599" w:rsidRPr="009C6697" w:rsidRDefault="009C6697" w:rsidP="00C0759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EDUCATION AND WORK</w:t>
            </w:r>
          </w:p>
        </w:tc>
        <w:tc>
          <w:tcPr>
            <w:tcW w:w="3749" w:type="pct"/>
            <w:gridSpan w:val="2"/>
            <w:shd w:val="clear" w:color="auto" w:fill="auto"/>
            <w:vAlign w:val="bottom"/>
          </w:tcPr>
          <w:p w14:paraId="27DBE4D9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noProof/>
                <w:lang w:val="en-GB"/>
              </w:rPr>
              <w:drawing>
                <wp:inline distT="0" distB="0" distL="0" distR="0" wp14:anchorId="005EF977" wp14:editId="56950C17">
                  <wp:extent cx="4320000" cy="772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77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697"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486B37DB" w14:textId="2449F130" w:rsidR="00AD0BBC" w:rsidRPr="009C6697" w:rsidRDefault="00AD0BBC" w:rsidP="00AB3E37">
      <w:pPr>
        <w:ind w:left="708" w:hanging="708"/>
        <w:rPr>
          <w:rFonts w:cstheme="minorHAnsi"/>
          <w:lang w:val="en-GB"/>
        </w:rPr>
      </w:pPr>
      <w:r w:rsidRPr="009C6697">
        <w:rPr>
          <w:rFonts w:cstheme="minorHAnsi"/>
          <w:lang w:val="en-GB"/>
        </w:rPr>
        <w:t xml:space="preserve">02.2020. </w:t>
      </w:r>
      <w:r w:rsidR="009C6697">
        <w:rPr>
          <w:rFonts w:cstheme="minorHAnsi"/>
          <w:lang w:val="en-GB"/>
        </w:rPr>
        <w:t>until today</w:t>
      </w:r>
      <w:r w:rsidR="009C6697">
        <w:rPr>
          <w:rFonts w:cstheme="minorHAnsi"/>
          <w:lang w:val="en-GB"/>
        </w:rPr>
        <w:tab/>
        <w:t xml:space="preserve">       Epidemiology resident, Public Health Institute of Canton Sarajevo</w:t>
      </w:r>
      <w:r w:rsidRPr="009C6697">
        <w:rPr>
          <w:rFonts w:cstheme="minorHAnsi"/>
          <w:lang w:val="en-GB"/>
        </w:rPr>
        <w:tab/>
        <w:t xml:space="preserve">       </w:t>
      </w:r>
    </w:p>
    <w:p w14:paraId="4D6B9969" w14:textId="77777777" w:rsidR="00AD0BBC" w:rsidRPr="009C6697" w:rsidRDefault="00AD0BBC" w:rsidP="00AB3E37">
      <w:pPr>
        <w:ind w:left="708" w:hanging="708"/>
        <w:rPr>
          <w:rFonts w:cstheme="minorHAnsi"/>
          <w:lang w:val="en-GB"/>
        </w:rPr>
      </w:pPr>
    </w:p>
    <w:p w14:paraId="5F6AA062" w14:textId="18419CD8" w:rsidR="00AB3E37" w:rsidRPr="009C6697" w:rsidRDefault="00AB3E37" w:rsidP="00AB3E37">
      <w:pPr>
        <w:ind w:left="708" w:hanging="708"/>
        <w:rPr>
          <w:rFonts w:cstheme="minorHAnsi"/>
          <w:lang w:val="en-GB"/>
        </w:rPr>
      </w:pPr>
      <w:r w:rsidRPr="009C6697">
        <w:rPr>
          <w:rFonts w:cstheme="minorHAnsi"/>
          <w:lang w:val="en-GB"/>
        </w:rPr>
        <w:t xml:space="preserve">09.2019. – </w:t>
      </w:r>
      <w:r w:rsidR="009C6697">
        <w:rPr>
          <w:rFonts w:cstheme="minorHAnsi"/>
          <w:lang w:val="en-GB"/>
        </w:rPr>
        <w:t>until today</w:t>
      </w:r>
      <w:r w:rsidRPr="009C6697">
        <w:rPr>
          <w:rFonts w:cstheme="minorHAnsi"/>
          <w:lang w:val="en-GB"/>
        </w:rPr>
        <w:tab/>
        <w:t xml:space="preserve">       </w:t>
      </w:r>
      <w:r w:rsidR="009C6697">
        <w:rPr>
          <w:rFonts w:cstheme="minorHAnsi"/>
          <w:b/>
          <w:lang w:val="en-GB"/>
        </w:rPr>
        <w:t>Senior teaching assistant at Department of physiology</w:t>
      </w:r>
      <w:r w:rsidR="009C6697">
        <w:rPr>
          <w:rFonts w:cstheme="minorHAnsi"/>
          <w:b/>
          <w:lang w:val="en-GB"/>
        </w:rPr>
        <w:tab/>
      </w:r>
      <w:r w:rsidR="009C6697">
        <w:rPr>
          <w:rFonts w:cstheme="minorHAnsi"/>
          <w:b/>
          <w:lang w:val="en-GB"/>
        </w:rPr>
        <w:tab/>
      </w:r>
      <w:r w:rsidRPr="009C6697">
        <w:rPr>
          <w:rFonts w:cstheme="minorHAnsi"/>
          <w:lang w:val="en-GB"/>
        </w:rPr>
        <w:tab/>
      </w:r>
      <w:r w:rsidRPr="009C6697">
        <w:rPr>
          <w:rFonts w:cstheme="minorHAnsi"/>
          <w:lang w:val="en-GB"/>
        </w:rPr>
        <w:tab/>
        <w:t xml:space="preserve">       </w:t>
      </w:r>
      <w:r w:rsidR="009C6697">
        <w:rPr>
          <w:rFonts w:cstheme="minorHAnsi"/>
          <w:lang w:val="en-GB"/>
        </w:rPr>
        <w:t>Medical School, Sarajevo School of Science and Technology</w:t>
      </w:r>
    </w:p>
    <w:p w14:paraId="70E6D7D3" w14:textId="6FD4C862" w:rsidR="00DD56E1" w:rsidRPr="009C6697" w:rsidRDefault="00AB3E37" w:rsidP="009C6697">
      <w:pPr>
        <w:rPr>
          <w:rFonts w:cstheme="minorHAnsi"/>
          <w:b/>
          <w:lang w:val="en-GB"/>
        </w:rPr>
      </w:pPr>
      <w:r w:rsidRPr="009C6697">
        <w:rPr>
          <w:rFonts w:cstheme="minorHAnsi"/>
          <w:lang w:val="en-GB"/>
        </w:rPr>
        <w:t xml:space="preserve">08. </w:t>
      </w:r>
      <w:r w:rsidR="00DC7CC8" w:rsidRPr="009C6697">
        <w:rPr>
          <w:rFonts w:cstheme="minorHAnsi"/>
          <w:lang w:val="en-GB"/>
        </w:rPr>
        <w:t>2017</w:t>
      </w:r>
      <w:r w:rsidR="008131CE" w:rsidRPr="009C6697">
        <w:rPr>
          <w:rFonts w:cstheme="minorHAnsi"/>
          <w:lang w:val="en-GB"/>
        </w:rPr>
        <w:t>.</w:t>
      </w:r>
      <w:r w:rsidR="00DC7CC8" w:rsidRPr="009C6697">
        <w:rPr>
          <w:rFonts w:cstheme="minorHAnsi"/>
          <w:lang w:val="en-GB"/>
        </w:rPr>
        <w:t xml:space="preserve"> </w:t>
      </w:r>
      <w:r w:rsidR="008131CE" w:rsidRPr="009C6697">
        <w:rPr>
          <w:rFonts w:cstheme="minorHAnsi"/>
          <w:lang w:val="en-GB"/>
        </w:rPr>
        <w:t xml:space="preserve">– </w:t>
      </w:r>
      <w:r w:rsidRPr="009C6697">
        <w:rPr>
          <w:rFonts w:cstheme="minorHAnsi"/>
          <w:lang w:val="en-GB"/>
        </w:rPr>
        <w:t xml:space="preserve">09. 2019.     </w:t>
      </w:r>
      <w:r w:rsidR="00DC7CC8" w:rsidRPr="009C6697">
        <w:rPr>
          <w:rFonts w:cstheme="minorHAnsi"/>
          <w:lang w:val="en-GB"/>
        </w:rPr>
        <w:t xml:space="preserve"> </w:t>
      </w:r>
      <w:r w:rsidRPr="009C6697">
        <w:rPr>
          <w:rFonts w:cstheme="minorHAnsi"/>
          <w:lang w:val="en-GB"/>
        </w:rPr>
        <w:t xml:space="preserve">      </w:t>
      </w:r>
      <w:r w:rsidR="009C6697">
        <w:rPr>
          <w:rFonts w:cstheme="minorHAnsi"/>
          <w:b/>
          <w:lang w:val="en-GB"/>
        </w:rPr>
        <w:t xml:space="preserve">Teaching assistant at </w:t>
      </w:r>
      <w:r w:rsidR="009C6697">
        <w:rPr>
          <w:rFonts w:cstheme="minorHAnsi"/>
          <w:lang w:val="en-GB"/>
        </w:rPr>
        <w:t xml:space="preserve">Department for forensic medicine, </w:t>
      </w:r>
      <w:r w:rsidR="009C6697">
        <w:rPr>
          <w:rFonts w:cstheme="minorHAnsi"/>
          <w:lang w:val="en-GB"/>
        </w:rPr>
        <w:br/>
        <w:t xml:space="preserve">                                                  Faculty of Medicine, University of Sarajevo</w:t>
      </w:r>
    </w:p>
    <w:p w14:paraId="125594F7" w14:textId="42030C9F" w:rsidR="00C07599" w:rsidRPr="009C6697" w:rsidRDefault="00AB3E37" w:rsidP="00AB3E37">
      <w:pPr>
        <w:ind w:left="2475" w:hanging="2475"/>
        <w:rPr>
          <w:rFonts w:cstheme="minorHAnsi"/>
          <w:lang w:val="en-GB"/>
        </w:rPr>
      </w:pPr>
      <w:r w:rsidRPr="009C6697">
        <w:rPr>
          <w:rFonts w:cstheme="minorHAnsi"/>
          <w:lang w:val="en-GB"/>
        </w:rPr>
        <w:t>10.</w:t>
      </w:r>
      <w:r w:rsidR="00273F48" w:rsidRPr="009C6697">
        <w:rPr>
          <w:rFonts w:cstheme="minorHAnsi"/>
          <w:lang w:val="en-GB"/>
        </w:rPr>
        <w:t>2016</w:t>
      </w:r>
      <w:r w:rsidR="008131CE" w:rsidRPr="009C6697">
        <w:rPr>
          <w:rFonts w:cstheme="minorHAnsi"/>
          <w:lang w:val="en-GB"/>
        </w:rPr>
        <w:t>.</w:t>
      </w:r>
      <w:r w:rsidR="00DD56E1" w:rsidRPr="009C6697">
        <w:rPr>
          <w:rFonts w:cstheme="minorHAnsi"/>
          <w:lang w:val="en-GB"/>
        </w:rPr>
        <w:t xml:space="preserve"> </w:t>
      </w:r>
      <w:r w:rsidRPr="009C6697">
        <w:rPr>
          <w:rFonts w:cstheme="minorHAnsi"/>
          <w:lang w:val="en-GB"/>
        </w:rPr>
        <w:t>–</w:t>
      </w:r>
      <w:r w:rsidR="008131CE" w:rsidRPr="009C6697">
        <w:rPr>
          <w:rFonts w:cstheme="minorHAnsi"/>
          <w:lang w:val="en-GB"/>
        </w:rPr>
        <w:t xml:space="preserve"> </w:t>
      </w:r>
      <w:r w:rsidRPr="009C6697">
        <w:rPr>
          <w:rFonts w:cstheme="minorHAnsi"/>
          <w:lang w:val="en-GB"/>
        </w:rPr>
        <w:t>07.</w:t>
      </w:r>
      <w:r w:rsidR="00DD56E1" w:rsidRPr="009C6697">
        <w:rPr>
          <w:rFonts w:cstheme="minorHAnsi"/>
          <w:lang w:val="en-GB"/>
        </w:rPr>
        <w:t>2017</w:t>
      </w:r>
      <w:r w:rsidR="008131CE" w:rsidRPr="009C6697">
        <w:rPr>
          <w:rFonts w:cstheme="minorHAnsi"/>
          <w:lang w:val="en-GB"/>
        </w:rPr>
        <w:t>.</w:t>
      </w:r>
      <w:r w:rsidRPr="009C6697">
        <w:rPr>
          <w:rFonts w:cstheme="minorHAnsi"/>
          <w:lang w:val="en-GB"/>
        </w:rPr>
        <w:t xml:space="preserve"> </w:t>
      </w:r>
      <w:r w:rsidR="00DD56E1" w:rsidRPr="009C6697">
        <w:rPr>
          <w:rFonts w:cstheme="minorHAnsi"/>
          <w:lang w:val="en-GB"/>
        </w:rPr>
        <w:tab/>
      </w:r>
      <w:r w:rsidR="009C6697">
        <w:rPr>
          <w:rFonts w:cstheme="minorHAnsi"/>
          <w:b/>
          <w:lang w:val="en-GB"/>
        </w:rPr>
        <w:t>Medical adviser</w:t>
      </w:r>
      <w:r w:rsidR="00DC7CC8" w:rsidRPr="009C6697">
        <w:rPr>
          <w:rFonts w:cstheme="minorHAnsi"/>
          <w:b/>
          <w:lang w:val="en-GB"/>
        </w:rPr>
        <w:t>,</w:t>
      </w:r>
      <w:r w:rsidRPr="009C6697">
        <w:rPr>
          <w:rFonts w:cstheme="minorHAnsi"/>
          <w:b/>
          <w:lang w:val="en-GB"/>
        </w:rPr>
        <w:br/>
      </w:r>
      <w:r w:rsidR="00273F48" w:rsidRPr="009C6697">
        <w:rPr>
          <w:rFonts w:cstheme="minorHAnsi"/>
          <w:lang w:val="en-GB"/>
        </w:rPr>
        <w:t xml:space="preserve">Krka Pharma doo </w:t>
      </w:r>
      <w:r w:rsidR="009C6697">
        <w:rPr>
          <w:rFonts w:cstheme="minorHAnsi"/>
          <w:lang w:val="en-GB"/>
        </w:rPr>
        <w:t>in Bosnia</w:t>
      </w: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5452"/>
        <w:gridCol w:w="1141"/>
      </w:tblGrid>
      <w:tr w:rsidR="00C07599" w:rsidRPr="009C6697" w14:paraId="3365A509" w14:textId="77777777" w:rsidTr="00C07599">
        <w:tc>
          <w:tcPr>
            <w:tcW w:w="1366" w:type="pct"/>
            <w:vMerge w:val="restart"/>
            <w:shd w:val="clear" w:color="auto" w:fill="auto"/>
          </w:tcPr>
          <w:p w14:paraId="78407EBA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2009</w:t>
            </w:r>
            <w:r w:rsidR="008131CE" w:rsidRPr="009C6697">
              <w:rPr>
                <w:rFonts w:cstheme="minorHAnsi"/>
                <w:lang w:val="en-GB"/>
              </w:rPr>
              <w:t xml:space="preserve">. </w:t>
            </w:r>
            <w:r w:rsidRPr="009C6697">
              <w:rPr>
                <w:rFonts w:cstheme="minorHAnsi"/>
                <w:lang w:val="en-GB"/>
              </w:rPr>
              <w:t>–</w:t>
            </w:r>
            <w:r w:rsidR="008131CE" w:rsidRPr="009C6697">
              <w:rPr>
                <w:rFonts w:cstheme="minorHAnsi"/>
                <w:lang w:val="en-GB"/>
              </w:rPr>
              <w:t xml:space="preserve"> </w:t>
            </w:r>
            <w:r w:rsidRPr="009C6697">
              <w:rPr>
                <w:rFonts w:cstheme="minorHAnsi"/>
                <w:lang w:val="en-GB"/>
              </w:rPr>
              <w:t>2016</w:t>
            </w:r>
            <w:r w:rsidR="008131CE" w:rsidRPr="009C6697">
              <w:rPr>
                <w:rFonts w:cstheme="minorHAnsi"/>
                <w:lang w:val="en-GB"/>
              </w:rPr>
              <w:t>.</w:t>
            </w:r>
          </w:p>
        </w:tc>
        <w:tc>
          <w:tcPr>
            <w:tcW w:w="3005" w:type="pct"/>
            <w:shd w:val="clear" w:color="auto" w:fill="auto"/>
          </w:tcPr>
          <w:p w14:paraId="5D4A8BD9" w14:textId="5EDF7FA7" w:rsidR="00C07599" w:rsidRPr="009C6697" w:rsidRDefault="009C6697" w:rsidP="00C0759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Medical doctor</w:t>
            </w:r>
          </w:p>
        </w:tc>
        <w:tc>
          <w:tcPr>
            <w:tcW w:w="629" w:type="pct"/>
            <w:shd w:val="clear" w:color="auto" w:fill="auto"/>
          </w:tcPr>
          <w:p w14:paraId="0FE3DB6D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</w:tr>
      <w:tr w:rsidR="00C07599" w:rsidRPr="009C6697" w14:paraId="2C333F0D" w14:textId="77777777" w:rsidTr="00C07599">
        <w:tc>
          <w:tcPr>
            <w:tcW w:w="1366" w:type="pct"/>
            <w:vMerge/>
            <w:shd w:val="clear" w:color="auto" w:fill="auto"/>
          </w:tcPr>
          <w:p w14:paraId="5D792C33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  <w:tc>
          <w:tcPr>
            <w:tcW w:w="3634" w:type="pct"/>
            <w:gridSpan w:val="2"/>
            <w:shd w:val="clear" w:color="auto" w:fill="auto"/>
          </w:tcPr>
          <w:p w14:paraId="0CA189E1" w14:textId="033BEC0B" w:rsidR="00C07599" w:rsidRPr="009C6697" w:rsidRDefault="009C6697" w:rsidP="00C0759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Degree of medical doctor MD at Faculty of Medicine, University of Sarajevo</w:t>
            </w:r>
            <w:r w:rsidR="00C07599" w:rsidRPr="009C6697">
              <w:rPr>
                <w:rFonts w:cstheme="minorHAnsi"/>
                <w:lang w:val="en-GB"/>
              </w:rPr>
              <w:t xml:space="preserve"> </w:t>
            </w:r>
          </w:p>
        </w:tc>
      </w:tr>
      <w:tr w:rsidR="00C07599" w:rsidRPr="009C6697" w14:paraId="394B5FA9" w14:textId="77777777" w:rsidTr="00C07599">
        <w:tc>
          <w:tcPr>
            <w:tcW w:w="1366" w:type="pct"/>
            <w:vMerge w:val="restart"/>
            <w:shd w:val="clear" w:color="auto" w:fill="auto"/>
          </w:tcPr>
          <w:p w14:paraId="4506A60C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2005</w:t>
            </w:r>
            <w:r w:rsidR="008131CE" w:rsidRPr="009C6697">
              <w:rPr>
                <w:rFonts w:cstheme="minorHAnsi"/>
                <w:lang w:val="en-GB"/>
              </w:rPr>
              <w:t xml:space="preserve">. </w:t>
            </w:r>
            <w:r w:rsidRPr="009C6697">
              <w:rPr>
                <w:rFonts w:cstheme="minorHAnsi"/>
                <w:lang w:val="en-GB"/>
              </w:rPr>
              <w:t>–</w:t>
            </w:r>
            <w:r w:rsidR="008131CE" w:rsidRPr="009C6697">
              <w:rPr>
                <w:rFonts w:cstheme="minorHAnsi"/>
                <w:lang w:val="en-GB"/>
              </w:rPr>
              <w:t xml:space="preserve"> </w:t>
            </w:r>
            <w:r w:rsidRPr="009C6697">
              <w:rPr>
                <w:rFonts w:cstheme="minorHAnsi"/>
                <w:lang w:val="en-GB"/>
              </w:rPr>
              <w:t>2009</w:t>
            </w:r>
            <w:r w:rsidR="008131CE" w:rsidRPr="009C6697">
              <w:rPr>
                <w:rFonts w:cstheme="minorHAnsi"/>
                <w:lang w:val="en-GB"/>
              </w:rPr>
              <w:t>.</w:t>
            </w:r>
          </w:p>
        </w:tc>
        <w:tc>
          <w:tcPr>
            <w:tcW w:w="3005" w:type="pct"/>
            <w:shd w:val="clear" w:color="auto" w:fill="auto"/>
          </w:tcPr>
          <w:p w14:paraId="2B1CE969" w14:textId="4ADA92E8" w:rsidR="00C07599" w:rsidRPr="009C6697" w:rsidRDefault="009C6697" w:rsidP="00C0759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 xml:space="preserve">Dental technician </w:t>
            </w:r>
          </w:p>
        </w:tc>
        <w:tc>
          <w:tcPr>
            <w:tcW w:w="629" w:type="pct"/>
            <w:shd w:val="clear" w:color="auto" w:fill="auto"/>
          </w:tcPr>
          <w:p w14:paraId="0F332CD3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</w:tr>
      <w:tr w:rsidR="00C07599" w:rsidRPr="009C6697" w14:paraId="3EA3D9B1" w14:textId="77777777" w:rsidTr="00C07599">
        <w:tc>
          <w:tcPr>
            <w:tcW w:w="1366" w:type="pct"/>
            <w:vMerge/>
            <w:shd w:val="clear" w:color="auto" w:fill="auto"/>
          </w:tcPr>
          <w:p w14:paraId="1BA1BB67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  <w:tc>
          <w:tcPr>
            <w:tcW w:w="3634" w:type="pct"/>
            <w:gridSpan w:val="2"/>
            <w:shd w:val="clear" w:color="auto" w:fill="auto"/>
          </w:tcPr>
          <w:p w14:paraId="269F0C33" w14:textId="58711F8A" w:rsidR="00C07599" w:rsidRPr="009C6697" w:rsidRDefault="009C6697" w:rsidP="00C0759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Dental High school</w:t>
            </w:r>
            <w:r w:rsidR="00C07599" w:rsidRPr="009C6697">
              <w:rPr>
                <w:rFonts w:cstheme="minorHAnsi"/>
                <w:lang w:val="en-GB"/>
              </w:rPr>
              <w:t>, Sarajevo (Bosn</w:t>
            </w:r>
            <w:r>
              <w:rPr>
                <w:rFonts w:cstheme="minorHAnsi"/>
                <w:lang w:val="en-GB"/>
              </w:rPr>
              <w:t xml:space="preserve">ia and </w:t>
            </w:r>
            <w:r w:rsidR="00C07599" w:rsidRPr="009C6697">
              <w:rPr>
                <w:rFonts w:cstheme="minorHAnsi"/>
                <w:lang w:val="en-GB"/>
              </w:rPr>
              <w:t>Her</w:t>
            </w:r>
            <w:r>
              <w:rPr>
                <w:rFonts w:cstheme="minorHAnsi"/>
                <w:lang w:val="en-GB"/>
              </w:rPr>
              <w:t>z</w:t>
            </w:r>
            <w:r w:rsidR="00C07599" w:rsidRPr="009C6697">
              <w:rPr>
                <w:rFonts w:cstheme="minorHAnsi"/>
                <w:lang w:val="en-GB"/>
              </w:rPr>
              <w:t xml:space="preserve">egovina) </w:t>
            </w:r>
          </w:p>
        </w:tc>
      </w:tr>
      <w:tr w:rsidR="00C07599" w:rsidRPr="009C6697" w14:paraId="400DD51F" w14:textId="77777777" w:rsidTr="00C07599">
        <w:tc>
          <w:tcPr>
            <w:tcW w:w="1366" w:type="pct"/>
            <w:vMerge w:val="restart"/>
            <w:shd w:val="clear" w:color="auto" w:fill="auto"/>
          </w:tcPr>
          <w:p w14:paraId="2EE33AFC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1997</w:t>
            </w:r>
            <w:r w:rsidR="008131CE" w:rsidRPr="009C6697">
              <w:rPr>
                <w:rFonts w:cstheme="minorHAnsi"/>
                <w:lang w:val="en-GB"/>
              </w:rPr>
              <w:t xml:space="preserve">. </w:t>
            </w:r>
            <w:r w:rsidRPr="009C6697">
              <w:rPr>
                <w:rFonts w:cstheme="minorHAnsi"/>
                <w:lang w:val="en-GB"/>
              </w:rPr>
              <w:t>–</w:t>
            </w:r>
            <w:r w:rsidR="008131CE" w:rsidRPr="009C6697">
              <w:rPr>
                <w:rFonts w:cstheme="minorHAnsi"/>
                <w:lang w:val="en-GB"/>
              </w:rPr>
              <w:t xml:space="preserve"> </w:t>
            </w:r>
            <w:r w:rsidRPr="009C6697">
              <w:rPr>
                <w:rFonts w:cstheme="minorHAnsi"/>
                <w:lang w:val="en-GB"/>
              </w:rPr>
              <w:t>2005</w:t>
            </w:r>
            <w:r w:rsidR="008131CE" w:rsidRPr="009C6697">
              <w:rPr>
                <w:rFonts w:cstheme="minorHAnsi"/>
                <w:lang w:val="en-GB"/>
              </w:rPr>
              <w:t>.</w:t>
            </w:r>
          </w:p>
        </w:tc>
        <w:tc>
          <w:tcPr>
            <w:tcW w:w="3005" w:type="pct"/>
            <w:shd w:val="clear" w:color="auto" w:fill="auto"/>
          </w:tcPr>
          <w:p w14:paraId="5E5AADA9" w14:textId="61C8AE23" w:rsidR="00C07599" w:rsidRPr="009C6697" w:rsidRDefault="009C6697" w:rsidP="00C0759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Elementary school </w:t>
            </w:r>
            <w:proofErr w:type="spellStart"/>
            <w:r>
              <w:rPr>
                <w:rFonts w:cstheme="minorHAnsi"/>
                <w:lang w:val="en-GB"/>
              </w:rPr>
              <w:t>Meša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Selimović</w:t>
            </w:r>
            <w:proofErr w:type="spellEnd"/>
            <w:r>
              <w:rPr>
                <w:rFonts w:cstheme="minorHAnsi"/>
                <w:lang w:val="en-GB"/>
              </w:rPr>
              <w:t>, Sarajevo</w:t>
            </w:r>
            <w:r w:rsidR="00C07599" w:rsidRPr="009C6697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629" w:type="pct"/>
            <w:shd w:val="clear" w:color="auto" w:fill="auto"/>
          </w:tcPr>
          <w:p w14:paraId="57C51D9C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</w:tr>
      <w:tr w:rsidR="00C07599" w:rsidRPr="009C6697" w14:paraId="273704D0" w14:textId="77777777" w:rsidTr="00C07599">
        <w:tc>
          <w:tcPr>
            <w:tcW w:w="1366" w:type="pct"/>
            <w:vMerge/>
            <w:shd w:val="clear" w:color="auto" w:fill="auto"/>
          </w:tcPr>
          <w:p w14:paraId="6DB5CBDE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  <w:tc>
          <w:tcPr>
            <w:tcW w:w="3634" w:type="pct"/>
            <w:gridSpan w:val="2"/>
            <w:shd w:val="clear" w:color="auto" w:fill="auto"/>
          </w:tcPr>
          <w:p w14:paraId="725AFA08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6803"/>
      </w:tblGrid>
      <w:tr w:rsidR="00C07599" w:rsidRPr="009C6697" w14:paraId="7D675E39" w14:textId="77777777" w:rsidTr="00C07599">
        <w:trPr>
          <w:trHeight w:val="170"/>
        </w:trPr>
        <w:tc>
          <w:tcPr>
            <w:tcW w:w="1366" w:type="pct"/>
            <w:shd w:val="clear" w:color="auto" w:fill="auto"/>
          </w:tcPr>
          <w:p w14:paraId="04C05571" w14:textId="4C2F7285" w:rsidR="00C07599" w:rsidRPr="009C6697" w:rsidRDefault="009C6697" w:rsidP="00C0759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Personal skills</w:t>
            </w:r>
          </w:p>
        </w:tc>
        <w:tc>
          <w:tcPr>
            <w:tcW w:w="3634" w:type="pct"/>
            <w:shd w:val="clear" w:color="auto" w:fill="auto"/>
            <w:vAlign w:val="bottom"/>
          </w:tcPr>
          <w:p w14:paraId="619A742A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noProof/>
                <w:lang w:val="en-GB"/>
              </w:rPr>
              <w:drawing>
                <wp:inline distT="0" distB="0" distL="0" distR="0" wp14:anchorId="2EFDC199" wp14:editId="57F8DA61">
                  <wp:extent cx="4320000" cy="7729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77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697"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31DFDBAB" w14:textId="7E96D96D" w:rsidR="00E44711" w:rsidRPr="009C6697" w:rsidRDefault="00E44711" w:rsidP="00C07599">
      <w:pPr>
        <w:rPr>
          <w:rFonts w:cstheme="minorHAnsi"/>
          <w:lang w:val="en-GB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1350"/>
        <w:gridCol w:w="1310"/>
        <w:gridCol w:w="1310"/>
        <w:gridCol w:w="1312"/>
        <w:gridCol w:w="1312"/>
      </w:tblGrid>
      <w:tr w:rsidR="00C07599" w:rsidRPr="009C6697" w14:paraId="64DD54AA" w14:textId="77777777" w:rsidTr="00340F40">
        <w:trPr>
          <w:trHeight w:val="255"/>
        </w:trPr>
        <w:tc>
          <w:tcPr>
            <w:tcW w:w="1366" w:type="pct"/>
            <w:shd w:val="clear" w:color="auto" w:fill="auto"/>
          </w:tcPr>
          <w:p w14:paraId="0D1C0BAC" w14:textId="26A30C1C" w:rsidR="00C07599" w:rsidRPr="009C6697" w:rsidRDefault="009C6697" w:rsidP="008E7A4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Language</w:t>
            </w:r>
          </w:p>
        </w:tc>
        <w:tc>
          <w:tcPr>
            <w:tcW w:w="3634" w:type="pct"/>
            <w:gridSpan w:val="5"/>
            <w:shd w:val="clear" w:color="auto" w:fill="auto"/>
          </w:tcPr>
          <w:p w14:paraId="07F88A46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Bosanski</w:t>
            </w:r>
            <w:proofErr w:type="spellEnd"/>
            <w:r w:rsidRPr="009C6697">
              <w:rPr>
                <w:rFonts w:cstheme="minorHAnsi"/>
                <w:lang w:val="en-GB"/>
              </w:rPr>
              <w:t>/</w:t>
            </w:r>
            <w:proofErr w:type="spellStart"/>
            <w:r w:rsidRPr="009C6697">
              <w:rPr>
                <w:rFonts w:cstheme="minorHAnsi"/>
                <w:lang w:val="en-GB"/>
              </w:rPr>
              <w:t>Hrvatski</w:t>
            </w:r>
            <w:proofErr w:type="spellEnd"/>
            <w:r w:rsidRPr="009C6697">
              <w:rPr>
                <w:rFonts w:cstheme="minorHAnsi"/>
                <w:lang w:val="en-GB"/>
              </w:rPr>
              <w:t>/</w:t>
            </w:r>
            <w:proofErr w:type="spellStart"/>
            <w:r w:rsidRPr="009C6697">
              <w:rPr>
                <w:rFonts w:cstheme="minorHAnsi"/>
                <w:lang w:val="en-GB"/>
              </w:rPr>
              <w:t>Srpski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jezik</w:t>
            </w:r>
            <w:proofErr w:type="spellEnd"/>
          </w:p>
        </w:tc>
      </w:tr>
      <w:tr w:rsidR="00C07599" w:rsidRPr="009C6697" w14:paraId="79FD06F5" w14:textId="77777777" w:rsidTr="00340F40">
        <w:trPr>
          <w:trHeight w:val="340"/>
        </w:trPr>
        <w:tc>
          <w:tcPr>
            <w:tcW w:w="1366" w:type="pct"/>
            <w:shd w:val="clear" w:color="auto" w:fill="auto"/>
          </w:tcPr>
          <w:p w14:paraId="1A05ECEB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  <w:tc>
          <w:tcPr>
            <w:tcW w:w="3634" w:type="pct"/>
            <w:gridSpan w:val="5"/>
            <w:shd w:val="clear" w:color="auto" w:fill="auto"/>
          </w:tcPr>
          <w:p w14:paraId="705EA56C" w14:textId="57A427A1" w:rsidR="00340F40" w:rsidRPr="009C6697" w:rsidRDefault="00340F40" w:rsidP="00C07599">
            <w:pPr>
              <w:rPr>
                <w:rFonts w:cstheme="minorHAnsi"/>
                <w:lang w:val="en-GB"/>
              </w:rPr>
            </w:pPr>
          </w:p>
        </w:tc>
      </w:tr>
      <w:tr w:rsidR="00C07599" w:rsidRPr="009C6697" w14:paraId="7D0AD1D6" w14:textId="77777777" w:rsidTr="00340F40">
        <w:trPr>
          <w:trHeight w:val="340"/>
        </w:trPr>
        <w:tc>
          <w:tcPr>
            <w:tcW w:w="1366" w:type="pct"/>
            <w:vMerge w:val="restart"/>
            <w:shd w:val="clear" w:color="auto" w:fill="auto"/>
          </w:tcPr>
          <w:p w14:paraId="7B00E667" w14:textId="3657169F" w:rsidR="00C07599" w:rsidRPr="009C6697" w:rsidRDefault="009C6697" w:rsidP="00C0759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 languages</w:t>
            </w:r>
          </w:p>
        </w:tc>
        <w:tc>
          <w:tcPr>
            <w:tcW w:w="1466" w:type="pct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93F1EE" w14:textId="0B6F4E3F" w:rsidR="00C07599" w:rsidRPr="009C6697" w:rsidRDefault="009C6697" w:rsidP="00C0759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Understanding</w:t>
            </w:r>
          </w:p>
        </w:tc>
        <w:tc>
          <w:tcPr>
            <w:tcW w:w="144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B522B0" w14:textId="686F5452" w:rsidR="00C07599" w:rsidRPr="009C6697" w:rsidRDefault="009C6697" w:rsidP="00C0759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Speaking</w:t>
            </w:r>
          </w:p>
        </w:tc>
        <w:tc>
          <w:tcPr>
            <w:tcW w:w="7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006AB6" w14:textId="6F8B1DD3" w:rsidR="00C07599" w:rsidRPr="009C6697" w:rsidRDefault="009C6697" w:rsidP="00C0759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Writing</w:t>
            </w:r>
          </w:p>
        </w:tc>
      </w:tr>
      <w:tr w:rsidR="00C07599" w:rsidRPr="009C6697" w14:paraId="430E8FE3" w14:textId="77777777" w:rsidTr="00340F40">
        <w:trPr>
          <w:trHeight w:val="340"/>
        </w:trPr>
        <w:tc>
          <w:tcPr>
            <w:tcW w:w="1366" w:type="pct"/>
            <w:vMerge/>
            <w:shd w:val="clear" w:color="auto" w:fill="auto"/>
          </w:tcPr>
          <w:p w14:paraId="2320EA1E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  <w:tc>
          <w:tcPr>
            <w:tcW w:w="744" w:type="pct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0C23F9D" w14:textId="11993B41" w:rsidR="00C07599" w:rsidRPr="009C6697" w:rsidRDefault="009C6697" w:rsidP="00C0759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Listening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0F4525" w14:textId="4A29AEAD" w:rsidR="00C07599" w:rsidRPr="009C6697" w:rsidRDefault="009C6697" w:rsidP="00C0759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Reading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DC97DA" w14:textId="1A4662B6" w:rsidR="00C07599" w:rsidRPr="009C6697" w:rsidRDefault="009C6697" w:rsidP="00C0759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Interaction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BA3FF6" w14:textId="747882D1" w:rsidR="00C07599" w:rsidRPr="009C6697" w:rsidRDefault="009C6697" w:rsidP="00C0759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Production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034C24B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C07599" w:rsidRPr="009C6697" w14:paraId="27337955" w14:textId="77777777" w:rsidTr="00340F40">
        <w:trPr>
          <w:trHeight w:val="283"/>
        </w:trPr>
        <w:tc>
          <w:tcPr>
            <w:tcW w:w="1366" w:type="pct"/>
            <w:shd w:val="clear" w:color="auto" w:fill="auto"/>
            <w:vAlign w:val="center"/>
          </w:tcPr>
          <w:p w14:paraId="20B2CCBC" w14:textId="4A750204" w:rsidR="00C07599" w:rsidRPr="009C6697" w:rsidRDefault="009C6697" w:rsidP="00C0759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English</w:t>
            </w: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6516E7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C1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2C3DC8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C1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4B25C2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C1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0F43FF1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C1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45F0CB" w14:textId="77777777" w:rsidR="00C07599" w:rsidRPr="009C6697" w:rsidRDefault="008E7A40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C1</w:t>
            </w:r>
          </w:p>
        </w:tc>
      </w:tr>
      <w:tr w:rsidR="00C07599" w:rsidRPr="009C6697" w14:paraId="7322BA3B" w14:textId="77777777" w:rsidTr="00340F40">
        <w:trPr>
          <w:trHeight w:val="283"/>
        </w:trPr>
        <w:tc>
          <w:tcPr>
            <w:tcW w:w="1366" w:type="pct"/>
            <w:shd w:val="clear" w:color="auto" w:fill="auto"/>
            <w:vAlign w:val="center"/>
          </w:tcPr>
          <w:p w14:paraId="7CC286B2" w14:textId="29958060" w:rsidR="00C07599" w:rsidRPr="009C6697" w:rsidRDefault="009C6697" w:rsidP="00C0759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German</w:t>
            </w: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B64C2E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9561BE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D3987B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8D7417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AB3BD1" w14:textId="77777777" w:rsidR="00C07599" w:rsidRPr="009C6697" w:rsidRDefault="00C07599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</w:tr>
      <w:tr w:rsidR="00C07599" w:rsidRPr="009C6697" w14:paraId="0ED11A18" w14:textId="77777777" w:rsidTr="00340F40">
        <w:trPr>
          <w:trHeight w:val="283"/>
        </w:trPr>
        <w:tc>
          <w:tcPr>
            <w:tcW w:w="1366" w:type="pct"/>
            <w:shd w:val="clear" w:color="auto" w:fill="auto"/>
            <w:vAlign w:val="center"/>
          </w:tcPr>
          <w:p w14:paraId="164F6CA3" w14:textId="6D80121D" w:rsidR="00C07599" w:rsidRPr="009C6697" w:rsidRDefault="009C6697" w:rsidP="00340F4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Slovenian</w:t>
            </w: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075ECB" w14:textId="77777777" w:rsidR="00C07599" w:rsidRPr="009C6697" w:rsidRDefault="008E7A40" w:rsidP="008E7A40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CC405A" w14:textId="77777777" w:rsidR="00C07599" w:rsidRPr="009C6697" w:rsidRDefault="008E7A40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CD95C9" w14:textId="77777777" w:rsidR="00C07599" w:rsidRPr="009C6697" w:rsidRDefault="008E7A40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F82660" w14:textId="77777777" w:rsidR="00C07599" w:rsidRPr="009C6697" w:rsidRDefault="008E7A40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E4E925" w14:textId="77777777" w:rsidR="00C07599" w:rsidRPr="009C6697" w:rsidRDefault="008E7A40" w:rsidP="00C07599">
            <w:pPr>
              <w:jc w:val="center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B1</w:t>
            </w:r>
          </w:p>
        </w:tc>
      </w:tr>
      <w:tr w:rsidR="00C07599" w:rsidRPr="00A51931" w14:paraId="0188C9CB" w14:textId="77777777" w:rsidTr="00340F40">
        <w:trPr>
          <w:trHeight w:val="397"/>
        </w:trPr>
        <w:tc>
          <w:tcPr>
            <w:tcW w:w="1366" w:type="pct"/>
            <w:shd w:val="clear" w:color="auto" w:fill="auto"/>
          </w:tcPr>
          <w:p w14:paraId="06E2C28B" w14:textId="77777777" w:rsidR="00C07599" w:rsidRPr="00A51931" w:rsidRDefault="00C07599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34" w:type="pct"/>
            <w:gridSpan w:val="5"/>
            <w:shd w:val="clear" w:color="auto" w:fill="auto"/>
            <w:vAlign w:val="center"/>
          </w:tcPr>
          <w:p w14:paraId="444E0E56" w14:textId="13AEEA01" w:rsidR="00C07599" w:rsidRPr="00A51931" w:rsidRDefault="00A51931" w:rsidP="008E7A4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51931">
              <w:rPr>
                <w:rFonts w:cstheme="minorHAnsi"/>
                <w:sz w:val="20"/>
                <w:szCs w:val="20"/>
                <w:lang w:val="en-GB"/>
              </w:rPr>
              <w:t>Grades</w:t>
            </w:r>
            <w:r w:rsidR="00C07599" w:rsidRPr="00A51931">
              <w:rPr>
                <w:rFonts w:cstheme="minorHAnsi"/>
                <w:sz w:val="20"/>
                <w:szCs w:val="20"/>
                <w:lang w:val="en-GB"/>
              </w:rPr>
              <w:t xml:space="preserve">: A1 </w:t>
            </w:r>
            <w:r w:rsidR="009C6697" w:rsidRPr="00A51931">
              <w:rPr>
                <w:rFonts w:cstheme="minorHAnsi"/>
                <w:sz w:val="20"/>
                <w:szCs w:val="20"/>
                <w:lang w:val="en-GB"/>
              </w:rPr>
              <w:t>and A</w:t>
            </w:r>
            <w:r w:rsidR="00C07599" w:rsidRPr="00A51931">
              <w:rPr>
                <w:rFonts w:cstheme="minorHAnsi"/>
                <w:sz w:val="20"/>
                <w:szCs w:val="20"/>
                <w:lang w:val="en-GB"/>
              </w:rPr>
              <w:t xml:space="preserve">2: </w:t>
            </w:r>
            <w:r w:rsidR="009C6697" w:rsidRPr="00A51931">
              <w:rPr>
                <w:rFonts w:cstheme="minorHAnsi"/>
                <w:sz w:val="20"/>
                <w:szCs w:val="20"/>
                <w:lang w:val="en-GB"/>
              </w:rPr>
              <w:t>Beginner</w:t>
            </w:r>
            <w:r w:rsidR="00C07599" w:rsidRPr="00A51931">
              <w:rPr>
                <w:rFonts w:cstheme="minorHAnsi"/>
                <w:sz w:val="20"/>
                <w:szCs w:val="20"/>
                <w:lang w:val="en-GB"/>
              </w:rPr>
              <w:t xml:space="preserve"> - B1 </w:t>
            </w:r>
            <w:r w:rsidR="009C6697" w:rsidRPr="00A51931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="00C07599" w:rsidRPr="00A51931">
              <w:rPr>
                <w:rFonts w:cstheme="minorHAnsi"/>
                <w:sz w:val="20"/>
                <w:szCs w:val="20"/>
                <w:lang w:val="en-GB"/>
              </w:rPr>
              <w:t xml:space="preserve">B2: </w:t>
            </w:r>
            <w:r w:rsidR="009C6697" w:rsidRPr="00A51931">
              <w:rPr>
                <w:rFonts w:cstheme="minorHAnsi"/>
                <w:sz w:val="20"/>
                <w:szCs w:val="20"/>
                <w:lang w:val="en-GB"/>
              </w:rPr>
              <w:t>Social speaker</w:t>
            </w:r>
            <w:r w:rsidR="00C07599" w:rsidRPr="00A51931">
              <w:rPr>
                <w:rFonts w:cstheme="minorHAnsi"/>
                <w:sz w:val="20"/>
                <w:szCs w:val="20"/>
                <w:lang w:val="en-GB"/>
              </w:rPr>
              <w:t xml:space="preserve"> - C1 </w:t>
            </w:r>
            <w:r w:rsidR="009C6697" w:rsidRPr="00A51931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="00C07599" w:rsidRPr="00A51931">
              <w:rPr>
                <w:rFonts w:cstheme="minorHAnsi"/>
                <w:sz w:val="20"/>
                <w:szCs w:val="20"/>
                <w:lang w:val="en-GB"/>
              </w:rPr>
              <w:t xml:space="preserve">C2: </w:t>
            </w:r>
            <w:r w:rsidR="009C6697" w:rsidRPr="00A51931">
              <w:rPr>
                <w:rFonts w:cstheme="minorHAnsi"/>
                <w:sz w:val="20"/>
                <w:szCs w:val="20"/>
                <w:lang w:val="en-GB"/>
              </w:rPr>
              <w:t>Experienced speaker</w:t>
            </w:r>
          </w:p>
        </w:tc>
      </w:tr>
    </w:tbl>
    <w:p w14:paraId="77B22E56" w14:textId="77777777" w:rsidR="00C07599" w:rsidRPr="00A51931" w:rsidRDefault="00C07599" w:rsidP="00C07599">
      <w:pPr>
        <w:framePr w:vSpace="6" w:wrap="around" w:vAnchor="text" w:hAnchor="text" w:y="6"/>
        <w:rPr>
          <w:rFonts w:cstheme="minorHAnsi"/>
          <w:sz w:val="20"/>
          <w:szCs w:val="20"/>
          <w:lang w:val="en-GB"/>
        </w:rPr>
      </w:pPr>
    </w:p>
    <w:p w14:paraId="023371BB" w14:textId="7320BF5D" w:rsidR="00E44711" w:rsidRPr="00A51931" w:rsidRDefault="00E44711" w:rsidP="00C07599">
      <w:pPr>
        <w:rPr>
          <w:rFonts w:cstheme="minorHAnsi"/>
          <w:sz w:val="20"/>
          <w:szCs w:val="20"/>
          <w:lang w:val="en-GB"/>
        </w:rPr>
      </w:pPr>
    </w:p>
    <w:tbl>
      <w:tblPr>
        <w:tblStyle w:val="GridTable1Light"/>
        <w:tblpPr w:topFromText="6" w:bottomFromText="170" w:vertAnchor="text" w:tblpY="6"/>
        <w:tblW w:w="5000" w:type="pct"/>
        <w:tblLook w:val="0000" w:firstRow="0" w:lastRow="0" w:firstColumn="0" w:lastColumn="0" w:noHBand="0" w:noVBand="0"/>
      </w:tblPr>
      <w:tblGrid>
        <w:gridCol w:w="2476"/>
        <w:gridCol w:w="6586"/>
      </w:tblGrid>
      <w:tr w:rsidR="00340F40" w:rsidRPr="009C6697" w14:paraId="47B95740" w14:textId="77777777" w:rsidTr="009011E9">
        <w:trPr>
          <w:trHeight w:val="170"/>
        </w:trPr>
        <w:tc>
          <w:tcPr>
            <w:tcW w:w="1366" w:type="pct"/>
          </w:tcPr>
          <w:p w14:paraId="03BEC1CD" w14:textId="77306EBA" w:rsidR="00340F40" w:rsidRPr="009C6697" w:rsidRDefault="009C6697" w:rsidP="009011E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Business skills</w:t>
            </w:r>
            <w:r w:rsidR="00340F40" w:rsidRPr="009C6697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3634" w:type="pct"/>
          </w:tcPr>
          <w:p w14:paraId="4F71F52E" w14:textId="77777777" w:rsidR="009C6697" w:rsidRPr="009C6697" w:rsidRDefault="009C6697" w:rsidP="009C6697">
            <w:pPr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▪ Member of the organizing team of the First Euro-Asian Congress of Dermatologists and Plastic Surgeons, 18-21.9.2014.</w:t>
            </w:r>
          </w:p>
          <w:p w14:paraId="61D7B7B8" w14:textId="77777777" w:rsidR="009C6697" w:rsidRPr="009C6697" w:rsidRDefault="009C6697" w:rsidP="009C6697">
            <w:pPr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▪ Member and Coordinator of the Organizing Committee of the First International Congress of Medical Students </w:t>
            </w:r>
            <w:proofErr w:type="spellStart"/>
            <w:r w:rsidRPr="009C6697">
              <w:rPr>
                <w:rFonts w:cstheme="minorHAnsi"/>
                <w:lang w:val="en-GB"/>
              </w:rPr>
              <w:t>SaMED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2015, February 2015.</w:t>
            </w:r>
          </w:p>
          <w:p w14:paraId="2BAFF373" w14:textId="77777777" w:rsidR="009C6697" w:rsidRPr="009C6697" w:rsidRDefault="009C6697" w:rsidP="009C6697">
            <w:pPr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▪ Member and Coordinator of the Organizing Committee of the Second International Congress of Medical Students </w:t>
            </w:r>
            <w:proofErr w:type="spellStart"/>
            <w:r w:rsidRPr="009C6697">
              <w:rPr>
                <w:rFonts w:cstheme="minorHAnsi"/>
                <w:lang w:val="en-GB"/>
              </w:rPr>
              <w:t>SaMED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2016; January 2016</w:t>
            </w:r>
          </w:p>
          <w:p w14:paraId="181B41F2" w14:textId="77777777" w:rsidR="009C6697" w:rsidRPr="009C6697" w:rsidRDefault="009C6697" w:rsidP="009C6697">
            <w:pPr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▪ Member of the Board of Directors of the Student Association of the Faculty of Medicine, University of Sarajevo (September 2014 - June 2016)</w:t>
            </w:r>
          </w:p>
          <w:p w14:paraId="5B758D44" w14:textId="68BD991C" w:rsidR="00340F40" w:rsidRPr="009C6697" w:rsidRDefault="009C6697" w:rsidP="009C6697">
            <w:pPr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▪ Member of the Association of Forensic Medicine of Bosnia and Herzegovina (2017 - present)</w:t>
            </w:r>
          </w:p>
        </w:tc>
      </w:tr>
    </w:tbl>
    <w:p w14:paraId="4A5A42BA" w14:textId="77777777" w:rsidR="00340F40" w:rsidRPr="009C6697" w:rsidRDefault="00340F40" w:rsidP="00C07599">
      <w:pPr>
        <w:rPr>
          <w:rFonts w:cstheme="minorHAnsi"/>
          <w:lang w:val="en-GB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425"/>
        <w:gridCol w:w="1746"/>
        <w:gridCol w:w="1128"/>
        <w:gridCol w:w="1019"/>
        <w:gridCol w:w="1789"/>
      </w:tblGrid>
      <w:tr w:rsidR="00C07599" w:rsidRPr="00E71209" w14:paraId="3A4153B5" w14:textId="77777777" w:rsidTr="00C07599">
        <w:trPr>
          <w:trHeight w:val="340"/>
        </w:trPr>
        <w:tc>
          <w:tcPr>
            <w:tcW w:w="1366" w:type="pct"/>
            <w:vMerge w:val="restart"/>
            <w:shd w:val="clear" w:color="auto" w:fill="auto"/>
          </w:tcPr>
          <w:p w14:paraId="61022AEB" w14:textId="10B32625" w:rsidR="00C07599" w:rsidRPr="00E71209" w:rsidRDefault="009C6697" w:rsidP="00C07599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b/>
                <w:sz w:val="20"/>
                <w:szCs w:val="20"/>
                <w:lang w:val="en-GB"/>
              </w:rPr>
              <w:t>Digital skills</w:t>
            </w:r>
          </w:p>
        </w:tc>
        <w:tc>
          <w:tcPr>
            <w:tcW w:w="3634" w:type="pct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B3563C5" w14:textId="10937A33" w:rsidR="00C07599" w:rsidRPr="00E71209" w:rsidRDefault="009C6697" w:rsidP="00986FB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 xml:space="preserve">Self-evaluation </w:t>
            </w:r>
          </w:p>
        </w:tc>
      </w:tr>
      <w:tr w:rsidR="00C07599" w:rsidRPr="00E71209" w14:paraId="1F62E214" w14:textId="77777777" w:rsidTr="00C07599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1366" w:type="pct"/>
            <w:vMerge/>
            <w:shd w:val="clear" w:color="auto" w:fill="auto"/>
          </w:tcPr>
          <w:p w14:paraId="77352A1B" w14:textId="77777777" w:rsidR="00C07599" w:rsidRPr="00E71209" w:rsidRDefault="00C07599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44" w:type="pct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D9D4877" w14:textId="3140F990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Information processing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F1E469" w14:textId="6858A108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D44831" w14:textId="04DA83E2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Content creation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9E2548C" w14:textId="6125B275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Safety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2430B" w14:textId="67206E7C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Troubleshooting</w:t>
            </w:r>
          </w:p>
        </w:tc>
      </w:tr>
      <w:tr w:rsidR="00C07599" w:rsidRPr="00E71209" w14:paraId="149BE995" w14:textId="77777777" w:rsidTr="00C0759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1366" w:type="pct"/>
            <w:shd w:val="clear" w:color="auto" w:fill="auto"/>
            <w:vAlign w:val="center"/>
          </w:tcPr>
          <w:p w14:paraId="2F87CE17" w14:textId="77777777" w:rsidR="00C07599" w:rsidRPr="00E71209" w:rsidRDefault="00C07599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FA245F" w14:textId="7C9DBD30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Experienced user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520616" w14:textId="622D7D08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Experienced user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C04EF6" w14:textId="72C6F529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Experienced user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A20C75" w14:textId="121C3B8B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Experienced user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C4BD39" w14:textId="053D5EF8" w:rsidR="00C07599" w:rsidRPr="00E71209" w:rsidRDefault="009C6697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71209">
              <w:rPr>
                <w:rFonts w:cstheme="minorHAnsi"/>
                <w:sz w:val="20"/>
                <w:szCs w:val="20"/>
                <w:lang w:val="en-GB"/>
              </w:rPr>
              <w:t>Experienced user</w:t>
            </w:r>
          </w:p>
        </w:tc>
      </w:tr>
      <w:tr w:rsidR="00C07599" w:rsidRPr="00E71209" w14:paraId="331C7E02" w14:textId="77777777" w:rsidTr="00C07599">
        <w:tblPrEx>
          <w:tblCellMar>
            <w:bottom w:w="113" w:type="dxa"/>
          </w:tblCellMar>
        </w:tblPrEx>
        <w:trPr>
          <w:trHeight w:val="397"/>
        </w:trPr>
        <w:tc>
          <w:tcPr>
            <w:tcW w:w="1366" w:type="pct"/>
            <w:shd w:val="clear" w:color="auto" w:fill="auto"/>
          </w:tcPr>
          <w:p w14:paraId="3C5CC39C" w14:textId="77777777" w:rsidR="00C07599" w:rsidRPr="00E71209" w:rsidRDefault="00C07599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34" w:type="pct"/>
            <w:gridSpan w:val="5"/>
            <w:shd w:val="clear" w:color="auto" w:fill="auto"/>
            <w:vAlign w:val="center"/>
          </w:tcPr>
          <w:p w14:paraId="4DC90047" w14:textId="77777777" w:rsidR="00C07599" w:rsidRPr="00E71209" w:rsidRDefault="00C07599" w:rsidP="00C0759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6803"/>
      </w:tblGrid>
      <w:tr w:rsidR="00C07599" w:rsidRPr="009C6697" w14:paraId="4CE5D0C7" w14:textId="77777777" w:rsidTr="00C07599">
        <w:trPr>
          <w:trHeight w:val="170"/>
        </w:trPr>
        <w:tc>
          <w:tcPr>
            <w:tcW w:w="1366" w:type="pct"/>
            <w:shd w:val="clear" w:color="auto" w:fill="auto"/>
          </w:tcPr>
          <w:p w14:paraId="671AE0E0" w14:textId="76C03FB1" w:rsidR="00C07599" w:rsidRPr="009C6697" w:rsidRDefault="009C6697" w:rsidP="00C0759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ADDITIONAL INFORMATION</w:t>
            </w:r>
          </w:p>
        </w:tc>
        <w:tc>
          <w:tcPr>
            <w:tcW w:w="3634" w:type="pct"/>
            <w:shd w:val="clear" w:color="auto" w:fill="auto"/>
            <w:vAlign w:val="bottom"/>
          </w:tcPr>
          <w:p w14:paraId="0D31DC87" w14:textId="77777777" w:rsidR="00C07599" w:rsidRPr="009C6697" w:rsidRDefault="00C07599" w:rsidP="00C07599">
            <w:pPr>
              <w:rPr>
                <w:rFonts w:cstheme="minorHAnsi"/>
                <w:b/>
                <w:lang w:val="en-GB"/>
              </w:rPr>
            </w:pPr>
            <w:r w:rsidRPr="009C6697">
              <w:rPr>
                <w:rFonts w:cstheme="minorHAnsi"/>
                <w:b/>
                <w:noProof/>
                <w:lang w:val="en-GB"/>
              </w:rPr>
              <w:drawing>
                <wp:inline distT="0" distB="0" distL="0" distR="0" wp14:anchorId="00DEA63D" wp14:editId="789C3452">
                  <wp:extent cx="4320000" cy="7729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77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697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4"/>
      </w:tblGrid>
      <w:tr w:rsidR="00C07599" w:rsidRPr="009C6697" w14:paraId="5BC7CB85" w14:textId="77777777" w:rsidTr="00986FBA">
        <w:trPr>
          <w:trHeight w:val="170"/>
        </w:trPr>
        <w:tc>
          <w:tcPr>
            <w:tcW w:w="1366" w:type="pct"/>
            <w:shd w:val="clear" w:color="auto" w:fill="auto"/>
          </w:tcPr>
          <w:p w14:paraId="0B1A8A84" w14:textId="3B9A77BB" w:rsidR="00C07599" w:rsidRPr="009C6697" w:rsidRDefault="009C6697" w:rsidP="00986FBA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COURSES AND CONGRESSES</w:t>
            </w:r>
          </w:p>
        </w:tc>
        <w:tc>
          <w:tcPr>
            <w:tcW w:w="3634" w:type="pct"/>
            <w:shd w:val="clear" w:color="auto" w:fill="auto"/>
          </w:tcPr>
          <w:p w14:paraId="08B2EBD9" w14:textId="0F171D7B" w:rsidR="009C6697" w:rsidRPr="009C6697" w:rsidRDefault="009C6697" w:rsidP="00E71209">
            <w:pPr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 Active participant with oral presentation at the 27th International Congress of Forensic Medicine </w:t>
            </w:r>
            <w:proofErr w:type="spellStart"/>
            <w:r w:rsidRPr="009C6697">
              <w:rPr>
                <w:rFonts w:cstheme="minorHAnsi"/>
                <w:lang w:val="en-GB"/>
              </w:rPr>
              <w:t>Alpe</w:t>
            </w:r>
            <w:proofErr w:type="spellEnd"/>
            <w:r w:rsidRPr="009C6697">
              <w:rPr>
                <w:rFonts w:cstheme="minorHAnsi"/>
                <w:lang w:val="en-GB"/>
              </w:rPr>
              <w:t>-Adria-Pannonia, Belgrade, 2019</w:t>
            </w:r>
          </w:p>
          <w:p w14:paraId="530E9E0D" w14:textId="22D1A07D" w:rsidR="009C6697" w:rsidRPr="009C6697" w:rsidRDefault="009C6697" w:rsidP="00E71209">
            <w:pPr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Juvenile Osteology Course, University of Durham, October 2018</w:t>
            </w:r>
          </w:p>
          <w:p w14:paraId="72D237BB" w14:textId="1C64AC74" w:rsidR="009C6697" w:rsidRPr="009C6697" w:rsidRDefault="009C6697" w:rsidP="00E71209">
            <w:pPr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Active participant with oral presentation at the 26th International Congress of Forensic Medicine </w:t>
            </w:r>
            <w:proofErr w:type="spellStart"/>
            <w:r w:rsidRPr="009C6697">
              <w:rPr>
                <w:rFonts w:cstheme="minorHAnsi"/>
                <w:lang w:val="en-GB"/>
              </w:rPr>
              <w:t>Alpe</w:t>
            </w:r>
            <w:proofErr w:type="spellEnd"/>
            <w:r w:rsidRPr="009C6697">
              <w:rPr>
                <w:rFonts w:cstheme="minorHAnsi"/>
                <w:lang w:val="en-GB"/>
              </w:rPr>
              <w:t>-Adria-Pannonia, Pula 2018</w:t>
            </w:r>
          </w:p>
          <w:p w14:paraId="348D15A8" w14:textId="77777777" w:rsidR="00E71209" w:rsidRDefault="009C6697" w:rsidP="00E71209">
            <w:pPr>
              <w:spacing w:line="240" w:lineRule="auto"/>
              <w:ind w:left="216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 TRAIN (Training &amp; Research for Academic Newcomers), University of Sarajevo, June - July 2018.</w:t>
            </w:r>
          </w:p>
          <w:p w14:paraId="6E9D1A77" w14:textId="43166D03" w:rsidR="009C6697" w:rsidRPr="00E71209" w:rsidRDefault="009C6697" w:rsidP="00E712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lang w:val="en-GB"/>
              </w:rPr>
            </w:pPr>
            <w:r w:rsidRPr="00E71209">
              <w:rPr>
                <w:rFonts w:cstheme="minorHAnsi"/>
                <w:lang w:val="en-GB"/>
              </w:rPr>
              <w:t>Participant in the International Scientific Symposium "Fetal Medicine from Leonardo da Vinci to date", 3/4/2015.</w:t>
            </w:r>
          </w:p>
          <w:p w14:paraId="1C0D3647" w14:textId="55F2F2F0" w:rsidR="009C6697" w:rsidRPr="009C6697" w:rsidRDefault="009C6697" w:rsidP="00E71209">
            <w:pPr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Participant in the School of </w:t>
            </w:r>
            <w:proofErr w:type="spellStart"/>
            <w:r w:rsidRPr="009C6697">
              <w:rPr>
                <w:rFonts w:cstheme="minorHAnsi"/>
                <w:lang w:val="en-GB"/>
              </w:rPr>
              <w:t>Pediatrics</w:t>
            </w:r>
            <w:proofErr w:type="spellEnd"/>
            <w:r w:rsidRPr="009C6697">
              <w:rPr>
                <w:rFonts w:cstheme="minorHAnsi"/>
                <w:lang w:val="en-GB"/>
              </w:rPr>
              <w:t>, May 2015.</w:t>
            </w:r>
          </w:p>
          <w:p w14:paraId="41E7FCC3" w14:textId="231CB77D" w:rsidR="009C6697" w:rsidRPr="009C6697" w:rsidRDefault="009C6697" w:rsidP="00E71209">
            <w:pPr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Participant in the </w:t>
            </w:r>
            <w:proofErr w:type="spellStart"/>
            <w:r w:rsidRPr="009C6697">
              <w:rPr>
                <w:rFonts w:cstheme="minorHAnsi"/>
                <w:lang w:val="en-GB"/>
              </w:rPr>
              <w:t>Euromelanoma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Skin Cancer Prevention Campaign 2014, 2015</w:t>
            </w:r>
          </w:p>
          <w:p w14:paraId="7BD89CCD" w14:textId="0501424E" w:rsidR="009C6697" w:rsidRPr="009C6697" w:rsidRDefault="009C6697" w:rsidP="00E71209">
            <w:pPr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 Attended the School of Immunology in Timisoara, Romania, July 2014</w:t>
            </w:r>
          </w:p>
          <w:p w14:paraId="62F7E98E" w14:textId="434626D8" w:rsidR="0066575B" w:rsidRPr="009C6697" w:rsidRDefault="009C6697" w:rsidP="00E71209">
            <w:pPr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Gastroenterology School participant 2014, 2015.</w:t>
            </w:r>
          </w:p>
        </w:tc>
      </w:tr>
      <w:tr w:rsidR="00C07599" w:rsidRPr="009C6697" w14:paraId="5146798D" w14:textId="77777777" w:rsidTr="00C07599">
        <w:trPr>
          <w:trHeight w:val="170"/>
        </w:trPr>
        <w:tc>
          <w:tcPr>
            <w:tcW w:w="1366" w:type="pct"/>
            <w:shd w:val="clear" w:color="auto" w:fill="auto"/>
          </w:tcPr>
          <w:p w14:paraId="1AD78C7A" w14:textId="77777777" w:rsidR="00C07599" w:rsidRPr="009C6697" w:rsidRDefault="00C07599" w:rsidP="00C07599">
            <w:pPr>
              <w:rPr>
                <w:rFonts w:cstheme="minorHAnsi"/>
                <w:lang w:val="en-GB"/>
              </w:rPr>
            </w:pPr>
          </w:p>
        </w:tc>
        <w:tc>
          <w:tcPr>
            <w:tcW w:w="3634" w:type="pct"/>
            <w:shd w:val="clear" w:color="auto" w:fill="auto"/>
          </w:tcPr>
          <w:p w14:paraId="6E1C5DC6" w14:textId="77777777" w:rsidR="00A37AE8" w:rsidRPr="009C6697" w:rsidRDefault="00A37AE8" w:rsidP="00C07599">
            <w:pPr>
              <w:ind w:left="216"/>
              <w:rPr>
                <w:rFonts w:cstheme="minorHAnsi"/>
                <w:lang w:val="en-GB"/>
              </w:rPr>
            </w:pPr>
          </w:p>
        </w:tc>
      </w:tr>
      <w:tr w:rsidR="00C07599" w:rsidRPr="009C6697" w14:paraId="17CBA3B7" w14:textId="77777777" w:rsidTr="00C07599">
        <w:trPr>
          <w:trHeight w:val="170"/>
        </w:trPr>
        <w:tc>
          <w:tcPr>
            <w:tcW w:w="1366" w:type="pct"/>
            <w:shd w:val="clear" w:color="auto" w:fill="auto"/>
          </w:tcPr>
          <w:p w14:paraId="17B2038C" w14:textId="5F72B17C" w:rsidR="00C07599" w:rsidRPr="009C6697" w:rsidRDefault="00C07599" w:rsidP="00A37AE8">
            <w:pPr>
              <w:jc w:val="both"/>
              <w:rPr>
                <w:rFonts w:cstheme="minorHAnsi"/>
                <w:b/>
                <w:lang w:val="en-GB"/>
              </w:rPr>
            </w:pPr>
            <w:r w:rsidRPr="009C6697">
              <w:rPr>
                <w:rFonts w:cstheme="minorHAnsi"/>
                <w:b/>
                <w:lang w:val="en-GB"/>
              </w:rPr>
              <w:t>Publ</w:t>
            </w:r>
            <w:r w:rsidR="009C6697">
              <w:rPr>
                <w:rFonts w:cstheme="minorHAnsi"/>
                <w:b/>
                <w:lang w:val="en-GB"/>
              </w:rPr>
              <w:t xml:space="preserve">ications </w:t>
            </w:r>
          </w:p>
        </w:tc>
        <w:tc>
          <w:tcPr>
            <w:tcW w:w="3634" w:type="pct"/>
            <w:shd w:val="clear" w:color="auto" w:fill="auto"/>
          </w:tcPr>
          <w:p w14:paraId="233EC5DD" w14:textId="77777777" w:rsidR="00C07599" w:rsidRPr="009C6697" w:rsidRDefault="00C07599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>​</w:t>
            </w:r>
            <w:proofErr w:type="spellStart"/>
            <w:r w:rsidRPr="009C6697">
              <w:rPr>
                <w:rFonts w:cstheme="minorHAnsi"/>
                <w:lang w:val="en-GB"/>
              </w:rPr>
              <w:t>Prohic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A., </w:t>
            </w:r>
            <w:proofErr w:type="spellStart"/>
            <w:r w:rsidRPr="009C6697">
              <w:rPr>
                <w:rFonts w:cstheme="minorHAnsi"/>
                <w:lang w:val="en-GB"/>
              </w:rPr>
              <w:t>Muhasilovic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S., </w:t>
            </w:r>
            <w:proofErr w:type="spellStart"/>
            <w:r w:rsidRPr="009C6697">
              <w:rPr>
                <w:rFonts w:cstheme="minorHAnsi"/>
                <w:lang w:val="en-GB"/>
              </w:rPr>
              <w:t>Kuskunovic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A., </w:t>
            </w:r>
            <w:proofErr w:type="spellStart"/>
            <w:r w:rsidRPr="009C6697">
              <w:rPr>
                <w:rFonts w:cstheme="minorHAnsi"/>
                <w:lang w:val="en-GB"/>
              </w:rPr>
              <w:t>Hadzihasanovic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B., </w:t>
            </w:r>
            <w:proofErr w:type="spellStart"/>
            <w:r w:rsidRPr="009C6697">
              <w:rPr>
                <w:rFonts w:cstheme="minorHAnsi"/>
                <w:lang w:val="en-GB"/>
              </w:rPr>
              <w:t>Kuskunovic-Vlahovljak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S., </w:t>
            </w:r>
            <w:proofErr w:type="spellStart"/>
            <w:r w:rsidRPr="009C6697">
              <w:rPr>
                <w:rFonts w:cstheme="minorHAnsi"/>
                <w:lang w:val="en-GB"/>
              </w:rPr>
              <w:t>Krupalija-Fazlic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M. and Joguncic, A. (2015). </w:t>
            </w:r>
            <w:proofErr w:type="spellStart"/>
            <w:r w:rsidRPr="009C6697">
              <w:rPr>
                <w:rFonts w:cstheme="minorHAnsi"/>
                <w:lang w:val="en-GB"/>
              </w:rPr>
              <w:t>Gorlin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Goltz Syndrome – A Case Report from Bosnia and Herzegovina. </w:t>
            </w:r>
            <w:r w:rsidRPr="009C6697">
              <w:rPr>
                <w:rFonts w:cstheme="minorHAnsi"/>
                <w:i/>
                <w:lang w:val="en-GB"/>
              </w:rPr>
              <w:t>IJMPCR</w:t>
            </w:r>
            <w:r w:rsidRPr="009C6697">
              <w:rPr>
                <w:rFonts w:cstheme="minorHAnsi"/>
                <w:lang w:val="en-GB"/>
              </w:rPr>
              <w:t>, 3(4), pp.101-106.</w:t>
            </w:r>
          </w:p>
          <w:p w14:paraId="3A396502" w14:textId="77777777" w:rsidR="00C07599" w:rsidRPr="009C6697" w:rsidRDefault="00C07599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Jovovic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Sadikovic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T., </w:t>
            </w:r>
            <w:proofErr w:type="spellStart"/>
            <w:r w:rsidRPr="009C6697">
              <w:rPr>
                <w:rFonts w:cstheme="minorHAnsi"/>
                <w:lang w:val="en-GB"/>
              </w:rPr>
              <w:t>Krupalija-Fazlic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M., </w:t>
            </w:r>
            <w:proofErr w:type="spellStart"/>
            <w:r w:rsidRPr="009C6697">
              <w:rPr>
                <w:rFonts w:cstheme="minorHAnsi"/>
                <w:lang w:val="en-GB"/>
              </w:rPr>
              <w:t>Prohic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A.,</w:t>
            </w:r>
            <w:proofErr w:type="spellStart"/>
            <w:r w:rsidRPr="009C6697">
              <w:rPr>
                <w:rFonts w:cstheme="minorHAnsi"/>
                <w:lang w:val="en-GB"/>
              </w:rPr>
              <w:t>Tafi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Z., </w:t>
            </w:r>
            <w:proofErr w:type="spellStart"/>
            <w:r w:rsidRPr="009C6697">
              <w:rPr>
                <w:rFonts w:cstheme="minorHAnsi"/>
                <w:lang w:val="en-GB"/>
              </w:rPr>
              <w:t>Helppikangas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H., Joguncic A.. </w:t>
            </w:r>
            <w:proofErr w:type="spellStart"/>
            <w:r w:rsidRPr="009C6697">
              <w:rPr>
                <w:rFonts w:cstheme="minorHAnsi"/>
                <w:lang w:val="en-GB"/>
              </w:rPr>
              <w:t>Baloon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cell malignant melanoma-case report.24 </w:t>
            </w:r>
            <w:proofErr w:type="spellStart"/>
            <w:r w:rsidRPr="009C6697">
              <w:rPr>
                <w:rFonts w:cstheme="minorHAnsi"/>
                <w:lang w:val="en-GB"/>
              </w:rPr>
              <w:t>th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EADV congress; Copenhagen , Denmark</w:t>
            </w:r>
          </w:p>
          <w:p w14:paraId="46E4E0A2" w14:textId="77777777" w:rsidR="00C07599" w:rsidRPr="009C6697" w:rsidRDefault="00C07599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Krupalija-Fazlic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M., </w:t>
            </w:r>
            <w:proofErr w:type="spellStart"/>
            <w:r w:rsidRPr="009C6697">
              <w:rPr>
                <w:rFonts w:cstheme="minorHAnsi"/>
                <w:lang w:val="en-GB"/>
              </w:rPr>
              <w:t>Jovovic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Sadikovic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T., </w:t>
            </w:r>
            <w:proofErr w:type="spellStart"/>
            <w:r w:rsidRPr="009C6697">
              <w:rPr>
                <w:rFonts w:cstheme="minorHAnsi"/>
                <w:lang w:val="en-GB"/>
              </w:rPr>
              <w:t>Prohic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A., </w:t>
            </w:r>
            <w:proofErr w:type="spellStart"/>
            <w:r w:rsidRPr="009C6697">
              <w:rPr>
                <w:rFonts w:cstheme="minorHAnsi"/>
                <w:lang w:val="en-GB"/>
              </w:rPr>
              <w:t>Helppikangas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H., Joguncic A., Ugly duckling sign </w:t>
            </w:r>
            <w:proofErr w:type="spellStart"/>
            <w:r w:rsidRPr="009C6697">
              <w:rPr>
                <w:rFonts w:cstheme="minorHAnsi"/>
                <w:lang w:val="en-GB"/>
              </w:rPr>
              <w:t>parametar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in diagnosis of melanoma. 24 </w:t>
            </w:r>
            <w:proofErr w:type="spellStart"/>
            <w:r w:rsidRPr="009C6697">
              <w:rPr>
                <w:rFonts w:cstheme="minorHAnsi"/>
                <w:lang w:val="en-GB"/>
              </w:rPr>
              <w:t>th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EADV congress; Copenhagen , Denmark</w:t>
            </w:r>
          </w:p>
          <w:p w14:paraId="558A77B3" w14:textId="77777777" w:rsidR="00C07599" w:rsidRPr="009C6697" w:rsidRDefault="00C07599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Prohić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A., </w:t>
            </w:r>
            <w:proofErr w:type="spellStart"/>
            <w:r w:rsidRPr="009C6697">
              <w:rPr>
                <w:rFonts w:cstheme="minorHAnsi"/>
                <w:lang w:val="en-GB"/>
              </w:rPr>
              <w:t>Hadžimuratović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A., </w:t>
            </w:r>
            <w:proofErr w:type="spellStart"/>
            <w:r w:rsidRPr="009C6697">
              <w:rPr>
                <w:rFonts w:cstheme="minorHAnsi"/>
                <w:lang w:val="en-GB"/>
              </w:rPr>
              <w:t>Kuskunović-Vlahovljak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S.,Jogunčić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A., Risk factors associated with malignancy in paraneoplastic dermatomyositis. Medical journal Vol 21. No 1, pp. 13-16</w:t>
            </w:r>
          </w:p>
          <w:p w14:paraId="3C1EE77E" w14:textId="77777777" w:rsidR="00C07599" w:rsidRPr="009C6697" w:rsidRDefault="00C07599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Jogunčić A, </w:t>
            </w:r>
            <w:proofErr w:type="spellStart"/>
            <w:r w:rsidRPr="009C6697">
              <w:rPr>
                <w:rFonts w:cstheme="minorHAnsi"/>
                <w:lang w:val="en-GB"/>
              </w:rPr>
              <w:t>Tahto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E., Do we need a screening for hypertension in healthy children? 1st </w:t>
            </w:r>
            <w:proofErr w:type="spellStart"/>
            <w:r w:rsidRPr="009C6697">
              <w:rPr>
                <w:rFonts w:cstheme="minorHAnsi"/>
                <w:lang w:val="en-GB"/>
              </w:rPr>
              <w:t>SaMED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congress, Sarajevo, 2015.</w:t>
            </w:r>
          </w:p>
          <w:p w14:paraId="08A3A1F8" w14:textId="77777777" w:rsidR="00C07599" w:rsidRPr="009C6697" w:rsidRDefault="00C07599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Tahto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E., Joguncic A., Cytochemical and bacteriological analysis of cerebrospinal fluid in patients with bacterial meningitis and irrationalities in therapy., GSC of biomedical sciences, Belgrade, 2014.</w:t>
            </w:r>
          </w:p>
          <w:p w14:paraId="08896EBB" w14:textId="77777777" w:rsidR="00C07599" w:rsidRPr="009C6697" w:rsidRDefault="00C07599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Sporišević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L, </w:t>
            </w:r>
            <w:proofErr w:type="spellStart"/>
            <w:r w:rsidRPr="009C6697">
              <w:rPr>
                <w:rFonts w:cstheme="minorHAnsi"/>
                <w:lang w:val="en-GB"/>
              </w:rPr>
              <w:t>Skelin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A, </w:t>
            </w:r>
            <w:proofErr w:type="spellStart"/>
            <w:r w:rsidRPr="009C6697">
              <w:rPr>
                <w:rFonts w:cstheme="minorHAnsi"/>
                <w:lang w:val="en-GB"/>
              </w:rPr>
              <w:t>Bajraktarević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A., Joguncic A., </w:t>
            </w:r>
            <w:proofErr w:type="spellStart"/>
            <w:r w:rsidRPr="009C6697">
              <w:rPr>
                <w:rFonts w:cstheme="minorHAnsi"/>
                <w:lang w:val="en-GB"/>
              </w:rPr>
              <w:t>Krželj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V. Is the </w:t>
            </w:r>
            <w:proofErr w:type="spellStart"/>
            <w:r w:rsidRPr="009C6697">
              <w:rPr>
                <w:rFonts w:cstheme="minorHAnsi"/>
                <w:lang w:val="en-GB"/>
              </w:rPr>
              <w:t>childrens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hypertension sufficiently recognized cardiovascular risk factor? 7th </w:t>
            </w:r>
            <w:proofErr w:type="spellStart"/>
            <w:r w:rsidRPr="009C6697">
              <w:rPr>
                <w:rFonts w:cstheme="minorHAnsi"/>
                <w:lang w:val="en-GB"/>
              </w:rPr>
              <w:t>Europaediatrics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congress. Florence, 2015.</w:t>
            </w:r>
          </w:p>
          <w:p w14:paraId="1B69A1ED" w14:textId="77777777" w:rsidR="00C4089B" w:rsidRPr="009C6697" w:rsidRDefault="00C4089B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Sporišević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L.,  </w:t>
            </w:r>
            <w:proofErr w:type="spellStart"/>
            <w:r w:rsidRPr="009C6697">
              <w:rPr>
                <w:rFonts w:cstheme="minorHAnsi"/>
                <w:lang w:val="en-GB"/>
              </w:rPr>
              <w:t>Krželj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V.,  </w:t>
            </w:r>
            <w:proofErr w:type="spellStart"/>
            <w:r w:rsidRPr="009C6697">
              <w:rPr>
                <w:rFonts w:cstheme="minorHAnsi"/>
                <w:lang w:val="en-GB"/>
              </w:rPr>
              <w:t>Skelin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A.,  Joguncic A., </w:t>
            </w:r>
            <w:proofErr w:type="spellStart"/>
            <w:r w:rsidRPr="009C6697">
              <w:rPr>
                <w:rFonts w:cstheme="minorHAnsi"/>
                <w:lang w:val="en-GB"/>
              </w:rPr>
              <w:t>Adašević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B. </w:t>
            </w:r>
            <w:proofErr w:type="spellStart"/>
            <w:r w:rsidRPr="009C6697">
              <w:rPr>
                <w:rFonts w:cstheme="minorHAnsi"/>
                <w:lang w:val="en-GB"/>
              </w:rPr>
              <w:t>Životne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 </w:t>
            </w:r>
            <w:proofErr w:type="spellStart"/>
            <w:r w:rsidRPr="009C6697">
              <w:rPr>
                <w:rFonts w:cstheme="minorHAnsi"/>
                <w:lang w:val="en-GB"/>
              </w:rPr>
              <w:t>navike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– </w:t>
            </w:r>
            <w:proofErr w:type="spellStart"/>
            <w:r w:rsidRPr="009C6697">
              <w:rPr>
                <w:rFonts w:cstheme="minorHAnsi"/>
                <w:lang w:val="en-GB"/>
              </w:rPr>
              <w:t>prediktor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 </w:t>
            </w:r>
            <w:proofErr w:type="spellStart"/>
            <w:r w:rsidRPr="009C6697">
              <w:rPr>
                <w:rFonts w:cstheme="minorHAnsi"/>
                <w:lang w:val="en-GB"/>
              </w:rPr>
              <w:t>prijvremenog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kardiovaskularnog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rizika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 u </w:t>
            </w:r>
            <w:proofErr w:type="spellStart"/>
            <w:r w:rsidRPr="009C6697">
              <w:rPr>
                <w:rFonts w:cstheme="minorHAnsi"/>
                <w:lang w:val="en-GB"/>
              </w:rPr>
              <w:t>zdrave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 </w:t>
            </w:r>
            <w:proofErr w:type="spellStart"/>
            <w:r w:rsidRPr="009C6697">
              <w:rPr>
                <w:rFonts w:cstheme="minorHAnsi"/>
                <w:lang w:val="en-GB"/>
              </w:rPr>
              <w:t>djece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;  12. </w:t>
            </w:r>
            <w:proofErr w:type="spellStart"/>
            <w:r w:rsidRPr="009C6697">
              <w:rPr>
                <w:rFonts w:cstheme="minorHAnsi"/>
                <w:lang w:val="en-GB"/>
              </w:rPr>
              <w:t>kongres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Hrvatskog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pedijatrijskog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društva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; </w:t>
            </w:r>
            <w:proofErr w:type="spellStart"/>
            <w:r w:rsidRPr="009C6697">
              <w:rPr>
                <w:rFonts w:cstheme="minorHAnsi"/>
                <w:lang w:val="en-GB"/>
              </w:rPr>
              <w:t>Opatija</w:t>
            </w:r>
            <w:proofErr w:type="spellEnd"/>
            <w:r w:rsidRPr="009C6697">
              <w:rPr>
                <w:rFonts w:cstheme="minorHAnsi"/>
                <w:lang w:val="en-GB"/>
              </w:rPr>
              <w:t>; 2016</w:t>
            </w:r>
          </w:p>
          <w:p w14:paraId="3E75B818" w14:textId="77777777" w:rsidR="00072976" w:rsidRPr="009C6697" w:rsidRDefault="00072976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Sporišević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L.,  </w:t>
            </w:r>
            <w:proofErr w:type="spellStart"/>
            <w:r w:rsidRPr="009C6697">
              <w:rPr>
                <w:rFonts w:cstheme="minorHAnsi"/>
                <w:lang w:val="en-GB"/>
              </w:rPr>
              <w:t>Krželj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V.,  </w:t>
            </w:r>
            <w:proofErr w:type="spellStart"/>
            <w:r w:rsidRPr="009C6697">
              <w:rPr>
                <w:rFonts w:cstheme="minorHAnsi"/>
                <w:lang w:val="en-GB"/>
              </w:rPr>
              <w:t>Skelin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A.,  Joguncic A., </w:t>
            </w:r>
            <w:proofErr w:type="spellStart"/>
            <w:r w:rsidRPr="009C6697">
              <w:rPr>
                <w:rFonts w:cstheme="minorHAnsi"/>
                <w:lang w:val="en-GB"/>
              </w:rPr>
              <w:t>Adašević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B. </w:t>
            </w:r>
            <w:proofErr w:type="spellStart"/>
            <w:r w:rsidRPr="009C6697">
              <w:rPr>
                <w:rFonts w:cstheme="minorHAnsi"/>
                <w:lang w:val="en-GB"/>
              </w:rPr>
              <w:t>Značenje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probira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životnih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navika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I </w:t>
            </w:r>
            <w:proofErr w:type="spellStart"/>
            <w:r w:rsidRPr="009C6697">
              <w:rPr>
                <w:rFonts w:cstheme="minorHAnsi"/>
                <w:lang w:val="en-GB"/>
              </w:rPr>
              <w:t>čimbenika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kardiovaskularnog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rizika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u </w:t>
            </w:r>
            <w:proofErr w:type="spellStart"/>
            <w:r w:rsidRPr="009C6697">
              <w:rPr>
                <w:rFonts w:cstheme="minorHAnsi"/>
                <w:lang w:val="en-GB"/>
              </w:rPr>
              <w:t>zdrave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djece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;  12. </w:t>
            </w:r>
            <w:proofErr w:type="spellStart"/>
            <w:r w:rsidRPr="009C6697">
              <w:rPr>
                <w:rFonts w:cstheme="minorHAnsi"/>
                <w:lang w:val="en-GB"/>
              </w:rPr>
              <w:t>kongres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Hrvatskog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pedijatrijskog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društva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; </w:t>
            </w:r>
            <w:proofErr w:type="spellStart"/>
            <w:r w:rsidRPr="009C6697">
              <w:rPr>
                <w:rFonts w:cstheme="minorHAnsi"/>
                <w:lang w:val="en-GB"/>
              </w:rPr>
              <w:t>Opatija</w:t>
            </w:r>
            <w:proofErr w:type="spellEnd"/>
            <w:r w:rsidRPr="009C6697">
              <w:rPr>
                <w:rFonts w:cstheme="minorHAnsi"/>
                <w:lang w:val="en-GB"/>
              </w:rPr>
              <w:t>; 2016</w:t>
            </w:r>
          </w:p>
          <w:p w14:paraId="452456FF" w14:textId="77777777" w:rsidR="00072976" w:rsidRPr="009C6697" w:rsidRDefault="00C4089B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Jovovic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Sadikovic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T., </w:t>
            </w:r>
            <w:proofErr w:type="spellStart"/>
            <w:r w:rsidRPr="009C6697">
              <w:rPr>
                <w:rFonts w:cstheme="minorHAnsi"/>
                <w:lang w:val="en-GB"/>
              </w:rPr>
              <w:t>Krupalija-Fazlic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M., </w:t>
            </w:r>
            <w:proofErr w:type="spellStart"/>
            <w:r w:rsidRPr="009C6697">
              <w:rPr>
                <w:rFonts w:cstheme="minorHAnsi"/>
                <w:lang w:val="en-GB"/>
              </w:rPr>
              <w:t>Prohic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A., Doss N., </w:t>
            </w:r>
            <w:proofErr w:type="spellStart"/>
            <w:r w:rsidRPr="009C6697">
              <w:rPr>
                <w:rFonts w:cstheme="minorHAnsi"/>
                <w:lang w:val="en-GB"/>
              </w:rPr>
              <w:t>Čekić-Čaušević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S.,</w:t>
            </w:r>
            <w:proofErr w:type="spellStart"/>
            <w:r w:rsidRPr="009C6697">
              <w:rPr>
                <w:rFonts w:cstheme="minorHAnsi"/>
                <w:lang w:val="en-GB"/>
              </w:rPr>
              <w:t>Solakovic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N., Joguncic A., </w:t>
            </w:r>
            <w:proofErr w:type="spellStart"/>
            <w:r w:rsidRPr="009C6697">
              <w:rPr>
                <w:rFonts w:cstheme="minorHAnsi"/>
                <w:lang w:val="en-GB"/>
              </w:rPr>
              <w:t>Krzalic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F.;  </w:t>
            </w:r>
            <w:proofErr w:type="spellStart"/>
            <w:r w:rsidRPr="009C6697">
              <w:rPr>
                <w:rFonts w:cstheme="minorHAnsi"/>
                <w:lang w:val="en-GB"/>
              </w:rPr>
              <w:t>Hypocomplementemic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urcarial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vasculis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syndrome; EADV Congress, Vienna, 2016.</w:t>
            </w:r>
          </w:p>
          <w:p w14:paraId="1E2A4C28" w14:textId="77777777" w:rsidR="000F064A" w:rsidRPr="009C6697" w:rsidRDefault="000F064A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Ejubović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E., </w:t>
            </w:r>
            <w:proofErr w:type="spellStart"/>
            <w:r w:rsidRPr="009C6697">
              <w:rPr>
                <w:rFonts w:cstheme="minorHAnsi"/>
                <w:lang w:val="en-GB"/>
              </w:rPr>
              <w:t>Ejubović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M., Jogunčić A., </w:t>
            </w:r>
            <w:proofErr w:type="spellStart"/>
            <w:r w:rsidRPr="009C6697">
              <w:rPr>
                <w:rFonts w:cstheme="minorHAnsi"/>
                <w:lang w:val="en-GB"/>
              </w:rPr>
              <w:t>Djakovic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I.  Analysis and comparison of the pregnancies and perinatal outcome in adolescents and adult women in </w:t>
            </w:r>
            <w:proofErr w:type="spellStart"/>
            <w:r w:rsidRPr="009C6697">
              <w:rPr>
                <w:rFonts w:cstheme="minorHAnsi"/>
                <w:lang w:val="en-GB"/>
              </w:rPr>
              <w:t>Zenica-Doboj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canton in 2011-2014.  COGI Congress, Amsterdam 2016.</w:t>
            </w:r>
          </w:p>
          <w:p w14:paraId="57B85400" w14:textId="77777777" w:rsidR="00072976" w:rsidRPr="009C6697" w:rsidRDefault="00072976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Sporišević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L., </w:t>
            </w:r>
            <w:proofErr w:type="spellStart"/>
            <w:r w:rsidRPr="009C6697">
              <w:rPr>
                <w:rFonts w:cstheme="minorHAnsi"/>
                <w:lang w:val="en-GB"/>
              </w:rPr>
              <w:t>Krželj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V., Jogunčić A., </w:t>
            </w:r>
            <w:proofErr w:type="spellStart"/>
            <w:r w:rsidRPr="009C6697">
              <w:rPr>
                <w:rFonts w:cstheme="minorHAnsi"/>
                <w:lang w:val="en-GB"/>
              </w:rPr>
              <w:t>Konjo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H., </w:t>
            </w:r>
            <w:proofErr w:type="spellStart"/>
            <w:r w:rsidRPr="009C6697">
              <w:rPr>
                <w:rFonts w:cstheme="minorHAnsi"/>
                <w:lang w:val="en-GB"/>
              </w:rPr>
              <w:t>Husić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F., </w:t>
            </w:r>
            <w:proofErr w:type="spellStart"/>
            <w:r w:rsidRPr="009C6697">
              <w:rPr>
                <w:rFonts w:cstheme="minorHAnsi"/>
                <w:lang w:val="en-GB"/>
              </w:rPr>
              <w:t>Skrining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dislipidemije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u </w:t>
            </w:r>
            <w:proofErr w:type="spellStart"/>
            <w:r w:rsidRPr="009C6697">
              <w:rPr>
                <w:rFonts w:cstheme="minorHAnsi"/>
                <w:lang w:val="en-GB"/>
              </w:rPr>
              <w:t>djece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- </w:t>
            </w:r>
            <w:proofErr w:type="spellStart"/>
            <w:r w:rsidRPr="009C6697">
              <w:rPr>
                <w:rFonts w:cstheme="minorHAnsi"/>
                <w:lang w:val="en-GB"/>
              </w:rPr>
              <w:t>prevencija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prijevremenog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kardiovaskularnog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rizika</w:t>
            </w:r>
            <w:proofErr w:type="spellEnd"/>
            <w:r w:rsidRPr="009C6697">
              <w:rPr>
                <w:rFonts w:cstheme="minorHAnsi"/>
                <w:lang w:val="en-GB"/>
              </w:rPr>
              <w:t>.  Medical Journal (2016) Vol. 22, No 4, 201 - 205. Sarajevo, 2017.</w:t>
            </w:r>
          </w:p>
          <w:p w14:paraId="557B6A0D" w14:textId="77777777" w:rsidR="00A37AE8" w:rsidRPr="009C6697" w:rsidRDefault="00A37AE8" w:rsidP="00A37AE8">
            <w:pPr>
              <w:jc w:val="both"/>
              <w:rPr>
                <w:rFonts w:cstheme="minorHAnsi"/>
                <w:lang w:val="en-GB"/>
              </w:rPr>
            </w:pPr>
          </w:p>
          <w:p w14:paraId="7AA05DB2" w14:textId="77777777" w:rsidR="00A37AE8" w:rsidRPr="009C6697" w:rsidRDefault="00504464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lastRenderedPageBreak/>
              <w:t>Salihbegović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A., Clark, J., </w:t>
            </w:r>
            <w:proofErr w:type="spellStart"/>
            <w:r w:rsidRPr="009C6697">
              <w:rPr>
                <w:rFonts w:cstheme="minorHAnsi"/>
                <w:lang w:val="en-GB"/>
              </w:rPr>
              <w:t>Sarajlić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N., </w:t>
            </w:r>
            <w:proofErr w:type="spellStart"/>
            <w:r w:rsidRPr="009C6697">
              <w:rPr>
                <w:rFonts w:cstheme="minorHAnsi"/>
                <w:lang w:val="en-GB"/>
              </w:rPr>
              <w:t>Radović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S., Finlay, F., Jogunčić, A., </w:t>
            </w:r>
            <w:proofErr w:type="spellStart"/>
            <w:r w:rsidRPr="009C6697">
              <w:rPr>
                <w:rFonts w:cstheme="minorHAnsi"/>
                <w:lang w:val="en-GB"/>
              </w:rPr>
              <w:t>Spahić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E., &amp; </w:t>
            </w:r>
            <w:proofErr w:type="spellStart"/>
            <w:r w:rsidRPr="009C6697">
              <w:rPr>
                <w:rFonts w:cstheme="minorHAnsi"/>
                <w:lang w:val="en-GB"/>
              </w:rPr>
              <w:t>Tuco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V. (2018). Histological observations on adipocere in human remains buried for 21 years at the </w:t>
            </w:r>
            <w:proofErr w:type="spellStart"/>
            <w:r w:rsidRPr="009C6697">
              <w:rPr>
                <w:rFonts w:cstheme="minorHAnsi"/>
                <w:lang w:val="en-GB"/>
              </w:rPr>
              <w:t>Tomašica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r w:rsidR="00A37AE8" w:rsidRPr="009C6697">
              <w:rPr>
                <w:rFonts w:cstheme="minorHAnsi"/>
                <w:lang w:val="en-GB"/>
              </w:rPr>
              <w:t>gravesite</w:t>
            </w:r>
            <w:r w:rsidRPr="009C6697">
              <w:rPr>
                <w:rFonts w:cstheme="minorHAnsi"/>
                <w:lang w:val="en-GB"/>
              </w:rPr>
              <w:t xml:space="preserve"> in Bosnia and Herzegovina. Bosnian Journal Of Basic Medical Sciences, 18(3), 234-239. </w:t>
            </w:r>
            <w:proofErr w:type="spellStart"/>
            <w:r w:rsidRPr="009C6697">
              <w:rPr>
                <w:rFonts w:cstheme="minorHAnsi"/>
                <w:lang w:val="en-GB"/>
              </w:rPr>
              <w:t>doi:http</w:t>
            </w:r>
            <w:proofErr w:type="spellEnd"/>
            <w:r w:rsidRPr="009C6697">
              <w:rPr>
                <w:rFonts w:cstheme="minorHAnsi"/>
                <w:lang w:val="en-GB"/>
              </w:rPr>
              <w:t>://dx.doi.org/10.17305/bjbms.2018.3343</w:t>
            </w:r>
          </w:p>
          <w:p w14:paraId="753761DC" w14:textId="77777777" w:rsidR="00A37AE8" w:rsidRPr="009C6697" w:rsidRDefault="00A37AE8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Husic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F., </w:t>
            </w:r>
            <w:proofErr w:type="spellStart"/>
            <w:r w:rsidRPr="009C6697">
              <w:rPr>
                <w:rFonts w:cstheme="minorHAnsi"/>
                <w:lang w:val="en-GB"/>
              </w:rPr>
              <w:t>Jatic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Z., Joguncic, A., &amp; </w:t>
            </w:r>
            <w:proofErr w:type="spellStart"/>
            <w:r w:rsidRPr="009C6697">
              <w:rPr>
                <w:rFonts w:cstheme="minorHAnsi"/>
                <w:lang w:val="en-GB"/>
              </w:rPr>
              <w:t>Sporisevic</w:t>
            </w:r>
            <w:proofErr w:type="spellEnd"/>
            <w:r w:rsidRPr="009C6697">
              <w:rPr>
                <w:rFonts w:cstheme="minorHAnsi"/>
                <w:lang w:val="en-GB"/>
              </w:rPr>
              <w:t>, L. (2018). Evaluation of the Immunization Program in the Federation of Bosnia and Herzegovina - Possible Modalities for Improvement. Materia Socio Medica, 30(1), 70. doi:10.5455/msm.2018.30.70-75.</w:t>
            </w:r>
          </w:p>
          <w:p w14:paraId="68B219D9" w14:textId="77777777" w:rsidR="00A37AE8" w:rsidRPr="009C6697" w:rsidRDefault="00A37AE8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lang w:val="en-GB"/>
              </w:rPr>
              <w:t xml:space="preserve">Nermin </w:t>
            </w:r>
            <w:proofErr w:type="spellStart"/>
            <w:r w:rsidRPr="009C6697">
              <w:rPr>
                <w:rFonts w:cstheme="minorHAnsi"/>
                <w:lang w:val="en-GB"/>
              </w:rPr>
              <w:t>Sarajlić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9C6697">
              <w:rPr>
                <w:rFonts w:cstheme="minorHAnsi"/>
                <w:lang w:val="en-GB"/>
              </w:rPr>
              <w:t>Lovre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Kršan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Milostić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9C6697">
              <w:rPr>
                <w:rFonts w:cstheme="minorHAnsi"/>
                <w:lang w:val="en-GB"/>
              </w:rPr>
              <w:t>Vedo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Tuco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Rifat </w:t>
            </w:r>
            <w:proofErr w:type="spellStart"/>
            <w:r w:rsidRPr="009C6697">
              <w:rPr>
                <w:rFonts w:cstheme="minorHAnsi"/>
                <w:lang w:val="en-GB"/>
              </w:rPr>
              <w:t>Kešetović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9C6697">
              <w:rPr>
                <w:rFonts w:cstheme="minorHAnsi"/>
                <w:lang w:val="en-GB"/>
              </w:rPr>
              <w:t>Adis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lang w:val="en-GB"/>
              </w:rPr>
              <w:t>Salihbegović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, Anes Jogunčić (2018). Analysis of the cause of death established by coroner’s inquest. Folia Med. Fac. Med. Univ. </w:t>
            </w:r>
            <w:proofErr w:type="spellStart"/>
            <w:r w:rsidRPr="009C6697">
              <w:rPr>
                <w:rFonts w:cstheme="minorHAnsi"/>
                <w:lang w:val="en-GB"/>
              </w:rPr>
              <w:t>Saraeviensis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2017; 52(2): 47-52</w:t>
            </w:r>
          </w:p>
          <w:p w14:paraId="13968D73" w14:textId="77777777" w:rsidR="00A37AE8" w:rsidRPr="009C6697" w:rsidRDefault="00A37AE8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lang w:val="en-GB"/>
              </w:rPr>
              <w:t>Dinarević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SM*, </w:t>
            </w:r>
            <w:proofErr w:type="spellStart"/>
            <w:r w:rsidRPr="009C6697">
              <w:rPr>
                <w:rFonts w:cstheme="minorHAnsi"/>
                <w:lang w:val="en-GB"/>
              </w:rPr>
              <w:t>Topić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B, </w:t>
            </w:r>
            <w:proofErr w:type="spellStart"/>
            <w:r w:rsidRPr="009C6697">
              <w:rPr>
                <w:rFonts w:cstheme="minorHAnsi"/>
                <w:lang w:val="en-GB"/>
              </w:rPr>
              <w:t>Jurišić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S, </w:t>
            </w:r>
            <w:proofErr w:type="spellStart"/>
            <w:r w:rsidRPr="009C6697">
              <w:rPr>
                <w:rFonts w:cstheme="minorHAnsi"/>
                <w:lang w:val="en-GB"/>
              </w:rPr>
              <w:t>Prohić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S, </w:t>
            </w:r>
            <w:proofErr w:type="spellStart"/>
            <w:r w:rsidRPr="009C6697">
              <w:rPr>
                <w:rFonts w:cstheme="minorHAnsi"/>
                <w:lang w:val="en-GB"/>
              </w:rPr>
              <w:t>Sporišević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L, </w:t>
            </w:r>
            <w:proofErr w:type="spellStart"/>
            <w:r w:rsidRPr="009C6697">
              <w:rPr>
                <w:rFonts w:cstheme="minorHAnsi"/>
                <w:lang w:val="en-GB"/>
              </w:rPr>
              <w:t>Saric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S, </w:t>
            </w:r>
            <w:proofErr w:type="spellStart"/>
            <w:r w:rsidRPr="009C6697">
              <w:rPr>
                <w:rFonts w:cstheme="minorHAnsi"/>
                <w:lang w:val="en-GB"/>
              </w:rPr>
              <w:t>Sarić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GK, </w:t>
            </w:r>
            <w:proofErr w:type="spellStart"/>
            <w:r w:rsidRPr="009C6697">
              <w:rPr>
                <w:rFonts w:cstheme="minorHAnsi"/>
                <w:lang w:val="en-GB"/>
              </w:rPr>
              <w:t>Krželj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V, Jogunčić A, </w:t>
            </w:r>
            <w:proofErr w:type="spellStart"/>
            <w:r w:rsidRPr="009C6697">
              <w:rPr>
                <w:rFonts w:cstheme="minorHAnsi"/>
                <w:lang w:val="en-GB"/>
              </w:rPr>
              <w:t>Ramić</w:t>
            </w:r>
            <w:proofErr w:type="spellEnd"/>
            <w:r w:rsidRPr="009C6697">
              <w:rPr>
                <w:rFonts w:cstheme="minorHAnsi"/>
                <w:lang w:val="en-GB"/>
              </w:rPr>
              <w:t xml:space="preserve"> A (2018). The Challenges of Detecting Risk Factors for the Development of Atherosclerosis. J Cardiovasc Dis Diagn 6: 342.</w:t>
            </w:r>
            <w:r w:rsidR="008131CE" w:rsidRPr="009C669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8131CE" w:rsidRPr="009C6697">
              <w:rPr>
                <w:rFonts w:cstheme="minorHAnsi"/>
                <w:lang w:val="en-GB"/>
              </w:rPr>
              <w:t>doi</w:t>
            </w:r>
            <w:proofErr w:type="spellEnd"/>
            <w:r w:rsidR="008131CE" w:rsidRPr="009C6697">
              <w:rPr>
                <w:rFonts w:cstheme="minorHAnsi"/>
                <w:lang w:val="en-GB"/>
              </w:rPr>
              <w:t>: 10.4172/2329-9517.1000342</w:t>
            </w:r>
          </w:p>
          <w:p w14:paraId="11BD32AC" w14:textId="77777777" w:rsidR="008131CE" w:rsidRPr="009C6697" w:rsidRDefault="008131CE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Jogunčić, A., </w:t>
            </w:r>
            <w:proofErr w:type="spellStart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>Salihbegović</w:t>
            </w:r>
            <w:proofErr w:type="spellEnd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, A., </w:t>
            </w:r>
            <w:proofErr w:type="spellStart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>Dervišević</w:t>
            </w:r>
            <w:proofErr w:type="spellEnd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, E., &amp; </w:t>
            </w:r>
            <w:proofErr w:type="spellStart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>Sarajlić</w:t>
            </w:r>
            <w:proofErr w:type="spellEnd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, N. (2019). Challenges associated with investigating a mass grave at the </w:t>
            </w:r>
            <w:proofErr w:type="spellStart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>Korićani</w:t>
            </w:r>
            <w:proofErr w:type="spellEnd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 cliffs in central Bosnia. </w:t>
            </w:r>
            <w:r w:rsidRPr="009C6697"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  <w:t>Journal Of Forensic And Legal Medicine</w:t>
            </w:r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>, </w:t>
            </w:r>
            <w:r w:rsidRPr="009C6697"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  <w:t>66</w:t>
            </w:r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, 107-112. </w:t>
            </w:r>
            <w:proofErr w:type="spellStart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>doi</w:t>
            </w:r>
            <w:proofErr w:type="spellEnd"/>
            <w:r w:rsidRPr="009C6697">
              <w:rPr>
                <w:rFonts w:cstheme="minorHAnsi"/>
                <w:color w:val="000000"/>
                <w:shd w:val="clear" w:color="auto" w:fill="FFFFFF"/>
                <w:lang w:val="en-GB"/>
              </w:rPr>
              <w:t>: 10.1016/j.jflm.2019.04.013</w:t>
            </w:r>
          </w:p>
          <w:p w14:paraId="58215FBD" w14:textId="77777777" w:rsidR="008131CE" w:rsidRPr="00E71209" w:rsidRDefault="008131CE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proofErr w:type="spellStart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Dinarević</w:t>
            </w:r>
            <w:proofErr w:type="spellEnd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, S. M., </w:t>
            </w:r>
            <w:proofErr w:type="spellStart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Sporišević</w:t>
            </w:r>
            <w:proofErr w:type="spellEnd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, L., </w:t>
            </w:r>
            <w:proofErr w:type="spellStart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Topić</w:t>
            </w:r>
            <w:proofErr w:type="spellEnd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, B., </w:t>
            </w:r>
            <w:proofErr w:type="spellStart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Krželj</w:t>
            </w:r>
            <w:proofErr w:type="spellEnd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, V., </w:t>
            </w:r>
            <w:proofErr w:type="spellStart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Jurišić</w:t>
            </w:r>
            <w:proofErr w:type="spellEnd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, S., Kirsten-</w:t>
            </w:r>
            <w:proofErr w:type="spellStart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Sarić</w:t>
            </w:r>
            <w:proofErr w:type="spellEnd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, G., Jogunčić A. ... &amp; </w:t>
            </w:r>
            <w:proofErr w:type="spellStart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Ramić</w:t>
            </w:r>
            <w:proofErr w:type="spellEnd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, A. (2019). A new potential risk factor for prematurity and cardiovascular diseases in children. </w:t>
            </w:r>
            <w:proofErr w:type="spellStart"/>
            <w:r w:rsidRPr="009C6697">
              <w:rPr>
                <w:rFonts w:cstheme="minorHAnsi"/>
                <w:i/>
                <w:iCs/>
                <w:color w:val="222222"/>
                <w:shd w:val="clear" w:color="auto" w:fill="FFFFFF"/>
                <w:lang w:val="en-GB"/>
              </w:rPr>
              <w:t>Paediatria</w:t>
            </w:r>
            <w:proofErr w:type="spellEnd"/>
            <w:r w:rsidRPr="009C6697">
              <w:rPr>
                <w:rFonts w:cstheme="minorHAnsi"/>
                <w:i/>
                <w:iCs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C6697">
              <w:rPr>
                <w:rFonts w:cstheme="minorHAnsi"/>
                <w:i/>
                <w:iCs/>
                <w:color w:val="222222"/>
                <w:shd w:val="clear" w:color="auto" w:fill="FFFFFF"/>
                <w:lang w:val="en-GB"/>
              </w:rPr>
              <w:t>Croatica</w:t>
            </w:r>
            <w:proofErr w:type="spellEnd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, </w:t>
            </w:r>
            <w:r w:rsidRPr="009C6697">
              <w:rPr>
                <w:rFonts w:cstheme="minorHAnsi"/>
                <w:i/>
                <w:iCs/>
                <w:color w:val="222222"/>
                <w:shd w:val="clear" w:color="auto" w:fill="FFFFFF"/>
                <w:lang w:val="en-GB"/>
              </w:rPr>
              <w:t>63</w:t>
            </w:r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(</w:t>
            </w:r>
            <w:proofErr w:type="spellStart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>Suppl</w:t>
            </w:r>
            <w:proofErr w:type="spellEnd"/>
            <w:r w:rsidRPr="009C6697">
              <w:rPr>
                <w:rFonts w:cstheme="minorHAnsi"/>
                <w:color w:val="222222"/>
                <w:shd w:val="clear" w:color="auto" w:fill="FFFFFF"/>
                <w:lang w:val="en-GB"/>
              </w:rPr>
              <w:t xml:space="preserve"> 1), 1.</w:t>
            </w:r>
          </w:p>
          <w:p w14:paraId="0C6C2299" w14:textId="77777777" w:rsidR="00E71209" w:rsidRPr="006F5CAD" w:rsidRDefault="006F5CAD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Šegalo, S., Maestro, D., Obradović, Z., &amp; Jogunčić, A. (2020). Nasal carriage rate and antimicrobial resistance pattern of Staphylococcus aureus among the food handlers in Canton Sarajevo, Bosnia and Herzegovina.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Health Sciences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71F4F67" w14:textId="77777777" w:rsidR="006F5CAD" w:rsidRPr="00127494" w:rsidRDefault="00127494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Vranic, S. M., Radaslic, V. D., Aljicevic, M., Abduzaimovic, A., Joguncic, A., &amp; Vraneš, J. (2020). Sexual Behaviours and Human Papillomavirus Genotyping among Bosnian Women.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IMAB–Annual Proceeding Scientific Papers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2898-2904.</w:t>
            </w:r>
          </w:p>
          <w:p w14:paraId="224DA550" w14:textId="503883F3" w:rsidR="00127494" w:rsidRPr="009C6697" w:rsidRDefault="00127494" w:rsidP="00A37AE8">
            <w:pPr>
              <w:numPr>
                <w:ilvl w:val="0"/>
                <w:numId w:val="1"/>
              </w:numPr>
              <w:jc w:val="both"/>
              <w:rPr>
                <w:rFonts w:cstheme="minorHAnsi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Gradaščević, A., Soldatović, I., Jogunčić, A., Milošević, M., &amp; Sarajlić, N. (2020). Appearance and characteristics of the gunshot wounds caused by different fire weapons-animal model.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Srpski arhiv za celokupno lekarstvo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(00), 20-20.</w:t>
            </w:r>
            <w:bookmarkStart w:id="0" w:name="_GoBack"/>
            <w:bookmarkEnd w:id="0"/>
          </w:p>
        </w:tc>
      </w:tr>
    </w:tbl>
    <w:p w14:paraId="7A54590D" w14:textId="77777777" w:rsidR="00743165" w:rsidRPr="009C6697" w:rsidRDefault="00743165" w:rsidP="00A37AE8">
      <w:pPr>
        <w:jc w:val="both"/>
        <w:rPr>
          <w:rFonts w:cstheme="minorHAnsi"/>
          <w:lang w:val="en-GB"/>
        </w:rPr>
      </w:pPr>
    </w:p>
    <w:sectPr w:rsidR="00743165" w:rsidRPr="009C6697" w:rsidSect="00A5193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 w15:restartNumberingAfterBreak="0">
    <w:nsid w:val="23842FE1"/>
    <w:multiLevelType w:val="hybridMultilevel"/>
    <w:tmpl w:val="F5F6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99"/>
    <w:rsid w:val="00072976"/>
    <w:rsid w:val="000F064A"/>
    <w:rsid w:val="00127494"/>
    <w:rsid w:val="001B77F2"/>
    <w:rsid w:val="002065EF"/>
    <w:rsid w:val="00273F48"/>
    <w:rsid w:val="00340F40"/>
    <w:rsid w:val="00380960"/>
    <w:rsid w:val="0048168E"/>
    <w:rsid w:val="00504464"/>
    <w:rsid w:val="00551063"/>
    <w:rsid w:val="00623A0A"/>
    <w:rsid w:val="0066575B"/>
    <w:rsid w:val="006F5CAD"/>
    <w:rsid w:val="00743165"/>
    <w:rsid w:val="008131CE"/>
    <w:rsid w:val="008E7A40"/>
    <w:rsid w:val="00986FBA"/>
    <w:rsid w:val="009C6697"/>
    <w:rsid w:val="00A37AE8"/>
    <w:rsid w:val="00A51931"/>
    <w:rsid w:val="00AB3E37"/>
    <w:rsid w:val="00AD0BBC"/>
    <w:rsid w:val="00C07599"/>
    <w:rsid w:val="00C4089B"/>
    <w:rsid w:val="00D81ACA"/>
    <w:rsid w:val="00DC7CC8"/>
    <w:rsid w:val="00DD56E1"/>
    <w:rsid w:val="00E44711"/>
    <w:rsid w:val="00E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543"/>
  <w15:chartTrackingRefBased/>
  <w15:docId w15:val="{18D1BD4D-1BAF-4DA2-9B65-96C5F18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5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40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E447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esjoguncic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53C8207F3FF45AF4F8C4EE0E20A67" ma:contentTypeVersion="7" ma:contentTypeDescription="Create a new document." ma:contentTypeScope="" ma:versionID="b987409dd0a753693458dfc914510c4e">
  <xsd:schema xmlns:xsd="http://www.w3.org/2001/XMLSchema" xmlns:xs="http://www.w3.org/2001/XMLSchema" xmlns:p="http://schemas.microsoft.com/office/2006/metadata/properties" xmlns:ns3="9c914696-b8f5-41a2-8c8a-ad4345bd3115" targetNamespace="http://schemas.microsoft.com/office/2006/metadata/properties" ma:root="true" ma:fieldsID="d3866d66cf12944c6b68156dafac501b" ns3:_="">
    <xsd:import namespace="9c914696-b8f5-41a2-8c8a-ad4345bd3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4696-b8f5-41a2-8c8a-ad4345bd3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0C34B-88CC-420B-8D7C-C4ABC2AF9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CC6C8-3936-4E4F-903A-894FF841E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9D7C1-4E5D-4F1A-A43A-B3E639426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14696-b8f5-41a2-8c8a-ad4345bd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 Jogunčić</dc:creator>
  <cp:keywords/>
  <dc:description/>
  <cp:lastModifiedBy>Anes Jogunčić</cp:lastModifiedBy>
  <cp:revision>6</cp:revision>
  <cp:lastPrinted>2019-07-26T06:25:00Z</cp:lastPrinted>
  <dcterms:created xsi:type="dcterms:W3CDTF">2020-08-03T14:37:00Z</dcterms:created>
  <dcterms:modified xsi:type="dcterms:W3CDTF">2020-08-03T14:40:00Z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0x010100C5653C8207F3FF45AF4F8C4EE0E20A67</vt:lpwstr>
  </property>
</Properties>
</file>